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FA135" w14:textId="288873D6" w:rsidR="006567A5" w:rsidRPr="00C500F3" w:rsidRDefault="00C500F3" w:rsidP="00C500F3">
      <w:pPr>
        <w:ind w:right="-150"/>
      </w:pPr>
      <w:r>
        <w:rPr>
          <w:noProof/>
          <w:lang w:val="nl-NL" w:eastAsia="nl-NL"/>
        </w:rPr>
        <w:drawing>
          <wp:inline distT="0" distB="0" distL="0" distR="0" wp14:anchorId="0506FF33" wp14:editId="7878F00F">
            <wp:extent cx="935550" cy="843645"/>
            <wp:effectExtent l="0" t="0" r="444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5550" cy="843645"/>
                    </a:xfrm>
                    <a:prstGeom prst="rect">
                      <a:avLst/>
                    </a:prstGeom>
                    <a:noFill/>
                    <a:ln>
                      <a:noFill/>
                    </a:ln>
                  </pic:spPr>
                </pic:pic>
              </a:graphicData>
            </a:graphic>
          </wp:inline>
        </w:drawing>
      </w:r>
      <w:r w:rsidR="007F37F8">
        <w:tab/>
      </w:r>
      <w:r w:rsidR="007F37F8">
        <w:tab/>
      </w:r>
      <w:r w:rsidR="007F37F8">
        <w:rPr>
          <w:rFonts w:ascii="Times New Roman" w:hAnsi="Times New Roman" w:cs="Times New Roman"/>
          <w:noProof/>
          <w:color w:val="000000" w:themeColor="text1"/>
          <w:lang w:val="nl-NL" w:eastAsia="nl-NL"/>
        </w:rPr>
        <w:drawing>
          <wp:inline distT="0" distB="0" distL="0" distR="0" wp14:anchorId="09BECD76" wp14:editId="59AA2CAB">
            <wp:extent cx="1386840" cy="68915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rouge_accroche.jpg"/>
                    <pic:cNvPicPr/>
                  </pic:nvPicPr>
                  <pic:blipFill>
                    <a:blip r:embed="rId6">
                      <a:extLst>
                        <a:ext uri="{28A0092B-C50C-407E-A947-70E740481C1C}">
                          <a14:useLocalDpi xmlns:a14="http://schemas.microsoft.com/office/drawing/2010/main" val="0"/>
                        </a:ext>
                      </a:extLst>
                    </a:blip>
                    <a:stretch>
                      <a:fillRect/>
                    </a:stretch>
                  </pic:blipFill>
                  <pic:spPr>
                    <a:xfrm>
                      <a:off x="0" y="0"/>
                      <a:ext cx="1412193" cy="701752"/>
                    </a:xfrm>
                    <a:prstGeom prst="rect">
                      <a:avLst/>
                    </a:prstGeom>
                  </pic:spPr>
                </pic:pic>
              </a:graphicData>
            </a:graphic>
          </wp:inline>
        </w:drawing>
      </w:r>
      <w:r w:rsidR="007F37F8">
        <w:tab/>
      </w:r>
      <w:r w:rsidR="007F37F8">
        <w:tab/>
      </w:r>
      <w:r w:rsidR="007F37F8">
        <w:tab/>
        <w:t xml:space="preserve"> </w:t>
      </w:r>
      <w:r w:rsidRPr="00A26326">
        <w:rPr>
          <w:rFonts w:ascii="Times New Roman" w:hAnsi="Times New Roman" w:cs="Times New Roman"/>
          <w:b/>
          <w:noProof/>
          <w:sz w:val="28"/>
          <w:lang w:val="nl-NL" w:eastAsia="nl-NL"/>
        </w:rPr>
        <w:drawing>
          <wp:inline distT="0" distB="0" distL="0" distR="0" wp14:anchorId="529E79EA" wp14:editId="359FADC0">
            <wp:extent cx="833431" cy="721660"/>
            <wp:effectExtent l="0" t="0" r="5080" b="2540"/>
            <wp:docPr id="1" name="Image 1" descr="Macintosh HD:Users:sandrinelauney:Desktop:nouveau-logo-du-cn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ndrinelauney:Desktop:nouveau-logo-du-cnr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626" cy="754733"/>
                    </a:xfrm>
                    <a:prstGeom prst="rect">
                      <a:avLst/>
                    </a:prstGeom>
                    <a:noFill/>
                    <a:ln>
                      <a:noFill/>
                    </a:ln>
                  </pic:spPr>
                </pic:pic>
              </a:graphicData>
            </a:graphic>
          </wp:inline>
        </w:drawing>
      </w:r>
    </w:p>
    <w:p w14:paraId="70A81B48" w14:textId="67DAD526" w:rsidR="006567A5" w:rsidRDefault="006567A5" w:rsidP="00474EB0">
      <w:pPr>
        <w:jc w:val="center"/>
        <w:rPr>
          <w:rFonts w:ascii="Times New Roman" w:hAnsi="Times New Roman" w:cs="Times New Roman"/>
          <w:b/>
          <w:bCs/>
          <w:color w:val="000000" w:themeColor="text1"/>
        </w:rPr>
      </w:pPr>
    </w:p>
    <w:p w14:paraId="17123664" w14:textId="4F0CE897" w:rsidR="00C500F3" w:rsidRDefault="00C500F3" w:rsidP="00C500F3">
      <w:pPr>
        <w:rPr>
          <w:rFonts w:ascii="Times New Roman" w:hAnsi="Times New Roman" w:cs="Times New Roman"/>
          <w:b/>
          <w:bCs/>
          <w:color w:val="000000" w:themeColor="text1"/>
        </w:rPr>
      </w:pPr>
      <w:bookmarkStart w:id="0" w:name="_GoBack"/>
    </w:p>
    <w:p w14:paraId="0DEEE7D5" w14:textId="77777777" w:rsidR="007F37F8" w:rsidRDefault="007F37F8" w:rsidP="00C500F3">
      <w:pPr>
        <w:rPr>
          <w:rFonts w:ascii="Times New Roman" w:hAnsi="Times New Roman" w:cs="Times New Roman"/>
          <w:b/>
          <w:bCs/>
          <w:color w:val="000000" w:themeColor="text1"/>
        </w:rPr>
      </w:pPr>
    </w:p>
    <w:p w14:paraId="5E8FAEC8" w14:textId="77777777" w:rsidR="002141FA" w:rsidRPr="00474EB0" w:rsidRDefault="002141FA" w:rsidP="002141FA">
      <w:pPr>
        <w:jc w:val="center"/>
        <w:rPr>
          <w:rFonts w:ascii="Times New Roman" w:hAnsi="Times New Roman" w:cs="Times New Roman"/>
          <w:b/>
          <w:bCs/>
          <w:color w:val="000000" w:themeColor="text1"/>
        </w:rPr>
      </w:pPr>
      <w:r w:rsidRPr="00474EB0">
        <w:rPr>
          <w:rFonts w:ascii="Times New Roman" w:hAnsi="Times New Roman" w:cs="Times New Roman"/>
          <w:b/>
          <w:bCs/>
          <w:color w:val="000000" w:themeColor="text1"/>
        </w:rPr>
        <w:t>Droit musulman : textes et pratiques dans l’histoire (VII</w:t>
      </w:r>
      <w:r w:rsidRPr="00474EB0">
        <w:rPr>
          <w:rFonts w:ascii="Times New Roman" w:hAnsi="Times New Roman" w:cs="Times New Roman"/>
          <w:b/>
          <w:bCs/>
          <w:color w:val="000000" w:themeColor="text1"/>
          <w:vertAlign w:val="superscript"/>
        </w:rPr>
        <w:t>e</w:t>
      </w:r>
      <w:r w:rsidRPr="00474EB0">
        <w:rPr>
          <w:rFonts w:ascii="Times New Roman" w:hAnsi="Times New Roman" w:cs="Times New Roman"/>
          <w:b/>
          <w:bCs/>
          <w:color w:val="000000" w:themeColor="text1"/>
        </w:rPr>
        <w:t xml:space="preserve"> -  XIX</w:t>
      </w:r>
      <w:r w:rsidRPr="00474EB0">
        <w:rPr>
          <w:rFonts w:ascii="Times New Roman" w:hAnsi="Times New Roman" w:cs="Times New Roman"/>
          <w:b/>
          <w:bCs/>
          <w:color w:val="000000" w:themeColor="text1"/>
          <w:vertAlign w:val="superscript"/>
        </w:rPr>
        <w:t>e</w:t>
      </w:r>
      <w:r w:rsidRPr="00474EB0">
        <w:rPr>
          <w:rFonts w:ascii="Times New Roman" w:hAnsi="Times New Roman" w:cs="Times New Roman"/>
          <w:b/>
          <w:bCs/>
          <w:color w:val="000000" w:themeColor="text1"/>
        </w:rPr>
        <w:t xml:space="preserve"> siècles)</w:t>
      </w:r>
    </w:p>
    <w:p w14:paraId="49311D66" w14:textId="77777777" w:rsidR="002141FA" w:rsidRPr="00474EB0" w:rsidRDefault="002141FA" w:rsidP="002141FA">
      <w:pPr>
        <w:jc w:val="center"/>
        <w:rPr>
          <w:rFonts w:ascii="Times New Roman" w:hAnsi="Times New Roman" w:cs="Times New Roman"/>
          <w:color w:val="000000" w:themeColor="text1"/>
        </w:rPr>
      </w:pPr>
    </w:p>
    <w:p w14:paraId="7C41BDB9" w14:textId="77777777" w:rsidR="002141FA" w:rsidRPr="00474EB0" w:rsidRDefault="002141FA" w:rsidP="002141FA">
      <w:pPr>
        <w:jc w:val="center"/>
        <w:rPr>
          <w:rFonts w:ascii="Times New Roman" w:hAnsi="Times New Roman" w:cs="Times New Roman"/>
          <w:color w:val="000000" w:themeColor="text1"/>
        </w:rPr>
      </w:pPr>
      <w:r w:rsidRPr="00474EB0">
        <w:rPr>
          <w:rFonts w:ascii="Times New Roman" w:hAnsi="Times New Roman" w:cs="Times New Roman"/>
          <w:color w:val="000000" w:themeColor="text1"/>
        </w:rPr>
        <w:t>Session d’études doctorales internationales en islamologie</w:t>
      </w:r>
    </w:p>
    <w:p w14:paraId="01186316" w14:textId="77777777" w:rsidR="002141FA" w:rsidRPr="00474EB0" w:rsidRDefault="002141FA" w:rsidP="002141FA">
      <w:pPr>
        <w:jc w:val="center"/>
        <w:rPr>
          <w:rFonts w:ascii="Times New Roman" w:hAnsi="Times New Roman" w:cs="Times New Roman"/>
          <w:color w:val="000000" w:themeColor="text1"/>
        </w:rPr>
      </w:pPr>
      <w:r>
        <w:rPr>
          <w:rFonts w:ascii="Times New Roman" w:hAnsi="Times New Roman" w:cs="Times New Roman"/>
          <w:color w:val="000000" w:themeColor="text1"/>
        </w:rPr>
        <w:t>o</w:t>
      </w:r>
      <w:r w:rsidRPr="00474EB0">
        <w:rPr>
          <w:rFonts w:ascii="Times New Roman" w:hAnsi="Times New Roman" w:cs="Times New Roman"/>
          <w:color w:val="000000" w:themeColor="text1"/>
        </w:rPr>
        <w:t>rganisée par le GIS Moyen Orient et mondes musulmans avec le soutien de la Fondation de l’Islam de France</w:t>
      </w:r>
    </w:p>
    <w:p w14:paraId="1F9E06A8" w14:textId="77777777" w:rsidR="002141FA" w:rsidRPr="00474EB0" w:rsidRDefault="002141FA" w:rsidP="002141FA">
      <w:pPr>
        <w:jc w:val="center"/>
        <w:rPr>
          <w:rFonts w:ascii="Times New Roman" w:hAnsi="Times New Roman" w:cs="Times New Roman"/>
          <w:color w:val="000000" w:themeColor="text1"/>
        </w:rPr>
      </w:pPr>
      <w:r w:rsidRPr="00474EB0">
        <w:rPr>
          <w:rFonts w:ascii="Times New Roman" w:hAnsi="Times New Roman" w:cs="Times New Roman"/>
          <w:color w:val="000000" w:themeColor="text1"/>
        </w:rPr>
        <w:t>Laboratoires partenaires : Centre Jean Pépin, Institut de recherches et d’histoire des textes</w:t>
      </w:r>
    </w:p>
    <w:p w14:paraId="0C720F56" w14:textId="77777777" w:rsidR="002141FA" w:rsidRPr="00474EB0" w:rsidRDefault="002141FA" w:rsidP="002141FA">
      <w:pPr>
        <w:jc w:val="both"/>
        <w:rPr>
          <w:rFonts w:ascii="Times New Roman" w:hAnsi="Times New Roman" w:cs="Times New Roman"/>
          <w:color w:val="000000" w:themeColor="text1"/>
        </w:rPr>
      </w:pPr>
    </w:p>
    <w:p w14:paraId="0EC30CFB" w14:textId="77777777" w:rsidR="002141FA" w:rsidRDefault="002141FA" w:rsidP="002141FA">
      <w:pPr>
        <w:jc w:val="both"/>
        <w:rPr>
          <w:rFonts w:ascii="Times New Roman" w:hAnsi="Times New Roman" w:cs="Times New Roman"/>
          <w:color w:val="000000" w:themeColor="text1"/>
        </w:rPr>
      </w:pPr>
    </w:p>
    <w:p w14:paraId="6BD5B3E3"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 xml:space="preserve">Dans le cadre du programme d’appui à l’islamologie française, le GIS Moyen Orient et mondes musulmans propose avec le soutien de la Fondation de l’Islam de France une session de formation doctorale visant à </w:t>
      </w:r>
      <w:r>
        <w:rPr>
          <w:rFonts w:ascii="Times New Roman" w:hAnsi="Times New Roman" w:cs="Times New Roman"/>
          <w:color w:val="000000" w:themeColor="text1"/>
        </w:rPr>
        <w:t>initier d</w:t>
      </w:r>
      <w:r w:rsidRPr="00474EB0">
        <w:rPr>
          <w:rFonts w:ascii="Times New Roman" w:hAnsi="Times New Roman" w:cs="Times New Roman"/>
          <w:color w:val="000000" w:themeColor="text1"/>
        </w:rPr>
        <w:t xml:space="preserve">es étudiants avancés de France et du monde francophone à la recherche internationale de haut niveau. Le séminaire doctoral 2018 sera consacré </w:t>
      </w:r>
      <w:r>
        <w:rPr>
          <w:rFonts w:ascii="Times New Roman" w:hAnsi="Times New Roman" w:cs="Times New Roman"/>
          <w:color w:val="000000" w:themeColor="text1"/>
        </w:rPr>
        <w:t xml:space="preserve">au droit musulman prémoderne et rassemblera une </w:t>
      </w:r>
      <w:r w:rsidRPr="00474EB0">
        <w:rPr>
          <w:rFonts w:ascii="Times New Roman" w:hAnsi="Times New Roman" w:cs="Times New Roman"/>
          <w:color w:val="000000" w:themeColor="text1"/>
        </w:rPr>
        <w:t>vingtaine d’étudiant.e.s venant des universités françaises</w:t>
      </w:r>
      <w:r>
        <w:rPr>
          <w:rFonts w:ascii="Times New Roman" w:hAnsi="Times New Roman" w:cs="Times New Roman"/>
          <w:color w:val="000000" w:themeColor="text1"/>
        </w:rPr>
        <w:t xml:space="preserve"> et des pays du Sud (Maghreb, Moyen-Orient, Sahel) qui seront encadrés par un groupe pluridisciplinaire de chercheur.e.s internationaux.  </w:t>
      </w:r>
    </w:p>
    <w:p w14:paraId="00630497" w14:textId="77777777" w:rsidR="002141FA" w:rsidRDefault="002141FA" w:rsidP="002141FA">
      <w:pPr>
        <w:jc w:val="both"/>
        <w:rPr>
          <w:rFonts w:ascii="Times New Roman" w:hAnsi="Times New Roman" w:cs="Times New Roman"/>
          <w:color w:val="000000" w:themeColor="text1"/>
        </w:rPr>
      </w:pPr>
    </w:p>
    <w:p w14:paraId="71B3CD20" w14:textId="77777777" w:rsidR="002141FA" w:rsidRPr="00474EB0" w:rsidRDefault="002141FA" w:rsidP="002141FA">
      <w:pPr>
        <w:jc w:val="both"/>
        <w:rPr>
          <w:rFonts w:ascii="Times New Roman" w:hAnsi="Times New Roman" w:cs="Times New Roman"/>
          <w:color w:val="000000" w:themeColor="text1"/>
        </w:rPr>
      </w:pPr>
    </w:p>
    <w:p w14:paraId="19D12E47" w14:textId="77777777" w:rsidR="002141FA" w:rsidRPr="00474EB0" w:rsidRDefault="002141FA" w:rsidP="002141FA">
      <w:pPr>
        <w:jc w:val="both"/>
        <w:rPr>
          <w:rFonts w:ascii="Times New Roman" w:hAnsi="Times New Roman" w:cs="Times New Roman"/>
          <w:b/>
          <w:bCs/>
          <w:color w:val="000000" w:themeColor="text1"/>
        </w:rPr>
      </w:pPr>
      <w:r w:rsidRPr="00474EB0">
        <w:rPr>
          <w:rFonts w:ascii="Times New Roman" w:hAnsi="Times New Roman" w:cs="Times New Roman"/>
          <w:b/>
          <w:bCs/>
          <w:color w:val="000000" w:themeColor="text1"/>
        </w:rPr>
        <w:t>Responsables scientifiques</w:t>
      </w:r>
    </w:p>
    <w:p w14:paraId="08E92001" w14:textId="77777777" w:rsidR="002141FA" w:rsidRPr="00474EB0" w:rsidRDefault="002141FA" w:rsidP="002141FA">
      <w:pPr>
        <w:jc w:val="both"/>
        <w:rPr>
          <w:rFonts w:ascii="Times New Roman" w:hAnsi="Times New Roman" w:cs="Times New Roman"/>
          <w:color w:val="000000" w:themeColor="text1"/>
        </w:rPr>
      </w:pPr>
    </w:p>
    <w:p w14:paraId="727D8167"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 xml:space="preserve">Ziad Bou Akl (Centre Jean Pépin/CNRS-ENS) </w:t>
      </w:r>
    </w:p>
    <w:p w14:paraId="53DA51B7"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 xml:space="preserve">Ismail Warscheid (IRHT/CNRS) </w:t>
      </w:r>
    </w:p>
    <w:p w14:paraId="797DB8B6" w14:textId="77777777" w:rsidR="002141FA" w:rsidRPr="00474EB0" w:rsidRDefault="002141FA" w:rsidP="002141FA">
      <w:pPr>
        <w:jc w:val="both"/>
        <w:rPr>
          <w:rFonts w:ascii="Times New Roman" w:hAnsi="Times New Roman" w:cs="Times New Roman"/>
          <w:color w:val="000000" w:themeColor="text1"/>
        </w:rPr>
      </w:pPr>
    </w:p>
    <w:p w14:paraId="67241926" w14:textId="77777777" w:rsidR="002141FA" w:rsidRDefault="002141FA" w:rsidP="002141FA">
      <w:pPr>
        <w:jc w:val="both"/>
        <w:rPr>
          <w:rFonts w:ascii="Times New Roman" w:hAnsi="Times New Roman" w:cs="Times New Roman"/>
          <w:b/>
          <w:bCs/>
          <w:color w:val="000000" w:themeColor="text1"/>
        </w:rPr>
      </w:pPr>
      <w:r w:rsidRPr="00474EB0">
        <w:rPr>
          <w:rFonts w:ascii="Times New Roman" w:hAnsi="Times New Roman" w:cs="Times New Roman"/>
          <w:b/>
          <w:bCs/>
          <w:color w:val="000000" w:themeColor="text1"/>
        </w:rPr>
        <w:t>Dates</w:t>
      </w:r>
    </w:p>
    <w:p w14:paraId="6EE5AA88" w14:textId="77777777" w:rsidR="002141FA" w:rsidRPr="00474EB0" w:rsidRDefault="002141FA" w:rsidP="002141FA">
      <w:pPr>
        <w:jc w:val="both"/>
        <w:rPr>
          <w:rFonts w:ascii="Times New Roman" w:hAnsi="Times New Roman" w:cs="Times New Roman"/>
          <w:b/>
          <w:bCs/>
          <w:color w:val="000000" w:themeColor="text1"/>
        </w:rPr>
      </w:pPr>
    </w:p>
    <w:p w14:paraId="7BCC1A8A"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Arrivée le 03 décembre 2018, départ le 07 décembre 2018</w:t>
      </w:r>
    </w:p>
    <w:p w14:paraId="60231924" w14:textId="77777777" w:rsidR="002141FA" w:rsidRPr="00474EB0" w:rsidRDefault="002141FA" w:rsidP="002141FA">
      <w:pPr>
        <w:jc w:val="both"/>
        <w:rPr>
          <w:rFonts w:ascii="Times New Roman" w:hAnsi="Times New Roman" w:cs="Times New Roman"/>
          <w:color w:val="000000" w:themeColor="text1"/>
        </w:rPr>
      </w:pPr>
    </w:p>
    <w:p w14:paraId="3D886168" w14:textId="77777777" w:rsidR="002141FA" w:rsidRPr="00474EB0" w:rsidRDefault="002141FA" w:rsidP="002141FA">
      <w:pPr>
        <w:jc w:val="both"/>
        <w:rPr>
          <w:rFonts w:ascii="Times New Roman" w:hAnsi="Times New Roman" w:cs="Times New Roman"/>
          <w:b/>
          <w:bCs/>
          <w:color w:val="000000" w:themeColor="text1"/>
        </w:rPr>
      </w:pPr>
      <w:r w:rsidRPr="00474EB0">
        <w:rPr>
          <w:rFonts w:ascii="Times New Roman" w:hAnsi="Times New Roman" w:cs="Times New Roman"/>
          <w:b/>
          <w:bCs/>
          <w:color w:val="000000" w:themeColor="text1"/>
        </w:rPr>
        <w:t>Lieu</w:t>
      </w:r>
    </w:p>
    <w:p w14:paraId="340D98C4" w14:textId="77777777" w:rsidR="002141FA" w:rsidRPr="00474EB0" w:rsidRDefault="002141FA" w:rsidP="002141FA">
      <w:pPr>
        <w:jc w:val="both"/>
        <w:rPr>
          <w:rFonts w:ascii="Times New Roman" w:hAnsi="Times New Roman" w:cs="Times New Roman"/>
          <w:color w:val="000000" w:themeColor="text1"/>
        </w:rPr>
      </w:pPr>
    </w:p>
    <w:p w14:paraId="08AA63B5"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 xml:space="preserve">Centre Jean Pépin, </w:t>
      </w:r>
    </w:p>
    <w:p w14:paraId="0BBFDBB1"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7, rue Guy Môquet BP N°8</w:t>
      </w:r>
    </w:p>
    <w:p w14:paraId="5A5BCCF9"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94801 Villejuif Cedex</w:t>
      </w:r>
    </w:p>
    <w:p w14:paraId="0ED344BA" w14:textId="77777777" w:rsidR="002141FA" w:rsidRPr="00474EB0" w:rsidRDefault="002141FA" w:rsidP="002141FA">
      <w:pPr>
        <w:jc w:val="both"/>
        <w:rPr>
          <w:rFonts w:ascii="Times New Roman" w:hAnsi="Times New Roman" w:cs="Times New Roman"/>
          <w:color w:val="000000" w:themeColor="text1"/>
        </w:rPr>
      </w:pPr>
    </w:p>
    <w:p w14:paraId="5A0045FF" w14:textId="77777777" w:rsidR="002141FA" w:rsidRPr="00474EB0" w:rsidRDefault="002141FA" w:rsidP="002141FA">
      <w:pPr>
        <w:jc w:val="both"/>
        <w:rPr>
          <w:rFonts w:ascii="Times New Roman" w:hAnsi="Times New Roman" w:cs="Times New Roman"/>
          <w:b/>
          <w:bCs/>
          <w:color w:val="000000" w:themeColor="text1"/>
        </w:rPr>
      </w:pPr>
      <w:r w:rsidRPr="00474EB0">
        <w:rPr>
          <w:rFonts w:ascii="Times New Roman" w:hAnsi="Times New Roman" w:cs="Times New Roman"/>
          <w:b/>
          <w:bCs/>
          <w:color w:val="000000" w:themeColor="text1"/>
        </w:rPr>
        <w:t>Disciplines</w:t>
      </w:r>
    </w:p>
    <w:p w14:paraId="578A2AD7" w14:textId="77777777" w:rsidR="002141FA" w:rsidRPr="00474EB0" w:rsidRDefault="002141FA" w:rsidP="002141FA">
      <w:pPr>
        <w:jc w:val="both"/>
        <w:rPr>
          <w:rFonts w:ascii="Times New Roman" w:hAnsi="Times New Roman" w:cs="Times New Roman"/>
          <w:color w:val="000000" w:themeColor="text1"/>
        </w:rPr>
      </w:pPr>
    </w:p>
    <w:p w14:paraId="6A9A66D3"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 xml:space="preserve">Droit –  Histoire – Islamologie – Philosophie – Philologie </w:t>
      </w:r>
    </w:p>
    <w:p w14:paraId="40679BFF" w14:textId="77777777" w:rsidR="002141FA" w:rsidRPr="00474EB0" w:rsidRDefault="002141FA" w:rsidP="002141FA">
      <w:pPr>
        <w:jc w:val="both"/>
        <w:rPr>
          <w:rFonts w:ascii="Times New Roman" w:hAnsi="Times New Roman" w:cs="Times New Roman"/>
          <w:color w:val="000000" w:themeColor="text1"/>
        </w:rPr>
      </w:pPr>
    </w:p>
    <w:p w14:paraId="61D85C54" w14:textId="77777777" w:rsidR="002141FA" w:rsidRPr="00474EB0" w:rsidRDefault="002141FA" w:rsidP="002141FA">
      <w:pPr>
        <w:jc w:val="both"/>
        <w:rPr>
          <w:rFonts w:ascii="Times New Roman" w:hAnsi="Times New Roman" w:cs="Times New Roman"/>
          <w:b/>
          <w:bCs/>
          <w:color w:val="000000" w:themeColor="text1"/>
        </w:rPr>
      </w:pPr>
      <w:r w:rsidRPr="00474EB0">
        <w:rPr>
          <w:rFonts w:ascii="Times New Roman" w:hAnsi="Times New Roman" w:cs="Times New Roman"/>
          <w:b/>
          <w:bCs/>
          <w:color w:val="000000" w:themeColor="text1"/>
        </w:rPr>
        <w:t>Argumentaire</w:t>
      </w:r>
    </w:p>
    <w:p w14:paraId="445AE26D" w14:textId="77777777" w:rsidR="002141FA" w:rsidRPr="00474EB0" w:rsidRDefault="002141FA" w:rsidP="002141FA">
      <w:pPr>
        <w:jc w:val="both"/>
        <w:rPr>
          <w:rFonts w:ascii="Times New Roman" w:hAnsi="Times New Roman" w:cs="Times New Roman"/>
          <w:color w:val="000000" w:themeColor="text1"/>
        </w:rPr>
      </w:pPr>
    </w:p>
    <w:p w14:paraId="6DAD3641"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La civilisation musulmane accorda dès le départ une grande place à la loi, considérée comme déterminant un ensemble de pratiques propres aux adeptes de la nouvelle révélation. Ensuite, avec le développement des sciences et des disciplines entre le VIII</w:t>
      </w:r>
      <w:r w:rsidRPr="00474EB0">
        <w:rPr>
          <w:rFonts w:ascii="Times New Roman" w:hAnsi="Times New Roman" w:cs="Times New Roman"/>
          <w:color w:val="000000" w:themeColor="text1"/>
          <w:vertAlign w:val="superscript"/>
        </w:rPr>
        <w:t>e</w:t>
      </w:r>
      <w:r w:rsidRPr="00474EB0">
        <w:rPr>
          <w:rFonts w:ascii="Times New Roman" w:hAnsi="Times New Roman" w:cs="Times New Roman"/>
          <w:color w:val="000000" w:themeColor="text1"/>
        </w:rPr>
        <w:t xml:space="preserve"> et le XII</w:t>
      </w:r>
      <w:r w:rsidRPr="00474EB0">
        <w:rPr>
          <w:rFonts w:ascii="Times New Roman" w:hAnsi="Times New Roman" w:cs="Times New Roman"/>
          <w:color w:val="000000" w:themeColor="text1"/>
          <w:vertAlign w:val="superscript"/>
        </w:rPr>
        <w:t>e</w:t>
      </w:r>
      <w:r w:rsidRPr="00474EB0">
        <w:rPr>
          <w:rFonts w:ascii="Times New Roman" w:hAnsi="Times New Roman" w:cs="Times New Roman"/>
          <w:color w:val="000000" w:themeColor="text1"/>
        </w:rPr>
        <w:t xml:space="preserve"> siècle, le droit se mit à jouer un rôle central au sein de l’enseignement et de la fabrique des savoirs. </w:t>
      </w:r>
      <w:r w:rsidRPr="00474EB0">
        <w:rPr>
          <w:rFonts w:ascii="Times New Roman" w:hAnsi="Times New Roman" w:cs="Times New Roman"/>
          <w:color w:val="000000" w:themeColor="text1"/>
        </w:rPr>
        <w:lastRenderedPageBreak/>
        <w:t xml:space="preserve">Traditionnellement, on distingue deux types de productions textuelles liés au droit : d’une part, les traités de </w:t>
      </w:r>
      <w:r w:rsidRPr="00474EB0">
        <w:rPr>
          <w:rFonts w:ascii="Times New Roman" w:hAnsi="Times New Roman" w:cs="Times New Roman"/>
          <w:i/>
          <w:iCs/>
          <w:color w:val="000000" w:themeColor="text1"/>
        </w:rPr>
        <w:t>u</w:t>
      </w:r>
      <w:r>
        <w:rPr>
          <w:rFonts w:ascii="Times New Roman" w:hAnsi="Times New Roman" w:cs="Times New Roman"/>
          <w:i/>
          <w:iCs/>
          <w:color w:val="000000" w:themeColor="text1"/>
        </w:rPr>
        <w:t>ṣ</w:t>
      </w:r>
      <w:r w:rsidRPr="00474EB0">
        <w:rPr>
          <w:rFonts w:ascii="Times New Roman" w:hAnsi="Times New Roman" w:cs="Times New Roman"/>
          <w:i/>
          <w:iCs/>
          <w:color w:val="000000" w:themeColor="text1"/>
        </w:rPr>
        <w:t>ūl al-fiqh</w:t>
      </w:r>
      <w:r w:rsidRPr="00474EB0">
        <w:rPr>
          <w:rFonts w:ascii="Times New Roman" w:hAnsi="Times New Roman" w:cs="Times New Roman"/>
          <w:color w:val="000000" w:themeColor="text1"/>
        </w:rPr>
        <w:t xml:space="preserve"> (« principes »), discipline dont la naissance est généralement associée à al-Sh</w:t>
      </w:r>
      <w:r>
        <w:rPr>
          <w:rFonts w:ascii="Times New Roman" w:hAnsi="Times New Roman" w:cs="Times New Roman"/>
          <w:color w:val="000000" w:themeColor="text1"/>
        </w:rPr>
        <w:t>ā</w:t>
      </w:r>
      <w:r w:rsidRPr="00474EB0">
        <w:rPr>
          <w:rFonts w:ascii="Times New Roman" w:hAnsi="Times New Roman" w:cs="Times New Roman"/>
          <w:color w:val="000000" w:themeColor="text1"/>
        </w:rPr>
        <w:t>fi</w:t>
      </w:r>
      <w:r>
        <w:rPr>
          <w:rFonts w:ascii="Times New Roman" w:hAnsi="Times New Roman" w:cs="Times New Roman"/>
          <w:color w:val="000000" w:themeColor="text1"/>
        </w:rPr>
        <w:t>ʿī</w:t>
      </w:r>
      <w:r w:rsidRPr="00474EB0">
        <w:rPr>
          <w:rFonts w:ascii="Times New Roman" w:hAnsi="Times New Roman" w:cs="Times New Roman"/>
          <w:color w:val="000000" w:themeColor="text1"/>
        </w:rPr>
        <w:t xml:space="preserve"> (m. 820) et qui aborde de</w:t>
      </w:r>
      <w:r>
        <w:rPr>
          <w:rFonts w:ascii="Times New Roman" w:hAnsi="Times New Roman" w:cs="Times New Roman"/>
          <w:color w:val="000000" w:themeColor="text1"/>
        </w:rPr>
        <w:t>s</w:t>
      </w:r>
      <w:r w:rsidRPr="00474EB0">
        <w:rPr>
          <w:rFonts w:ascii="Times New Roman" w:hAnsi="Times New Roman" w:cs="Times New Roman"/>
          <w:color w:val="000000" w:themeColor="text1"/>
        </w:rPr>
        <w:t xml:space="preserve"> questions logiques, linguistiques et épistémologiques dans un mouvement réflexif prenant le droit lui-même comme objet ; d’autre part, les traités de </w:t>
      </w:r>
      <w:r w:rsidRPr="00474EB0">
        <w:rPr>
          <w:rFonts w:ascii="Times New Roman" w:hAnsi="Times New Roman" w:cs="Times New Roman"/>
          <w:i/>
          <w:iCs/>
          <w:color w:val="000000" w:themeColor="text1"/>
        </w:rPr>
        <w:t>furū</w:t>
      </w:r>
      <w:r>
        <w:rPr>
          <w:rFonts w:ascii="Times New Roman" w:hAnsi="Times New Roman" w:cs="Times New Roman"/>
          <w:i/>
          <w:iCs/>
          <w:color w:val="000000" w:themeColor="text1"/>
        </w:rPr>
        <w:t>ʿ</w:t>
      </w:r>
      <w:r w:rsidRPr="00474EB0">
        <w:rPr>
          <w:rFonts w:ascii="Times New Roman" w:hAnsi="Times New Roman" w:cs="Times New Roman"/>
          <w:i/>
          <w:iCs/>
          <w:color w:val="000000" w:themeColor="text1"/>
        </w:rPr>
        <w:t xml:space="preserve"> </w:t>
      </w:r>
      <w:r w:rsidRPr="00474EB0">
        <w:rPr>
          <w:rFonts w:ascii="Times New Roman" w:hAnsi="Times New Roman" w:cs="Times New Roman"/>
          <w:color w:val="000000" w:themeColor="text1"/>
        </w:rPr>
        <w:t xml:space="preserve"> (« dérivés » du droit) abordant par chapitre les objets mêmes dont s’occupe le droit (comme les pratiques cultuelles, le droit familial, les contrats), sous forme d’opinions développées par chacune des grandes écoles de droit islamique, de points de divergence (</w:t>
      </w:r>
      <w:r w:rsidRPr="00474EB0">
        <w:rPr>
          <w:rFonts w:ascii="Times New Roman" w:hAnsi="Times New Roman" w:cs="Times New Roman"/>
          <w:i/>
          <w:iCs/>
          <w:color w:val="000000" w:themeColor="text1"/>
        </w:rPr>
        <w:t>ikhtilāf</w:t>
      </w:r>
      <w:r w:rsidRPr="00474EB0">
        <w:rPr>
          <w:rFonts w:ascii="Times New Roman" w:hAnsi="Times New Roman" w:cs="Times New Roman"/>
          <w:color w:val="000000" w:themeColor="text1"/>
        </w:rPr>
        <w:t xml:space="preserve">) entre les principales écoles ou de compilation de </w:t>
      </w:r>
      <w:r w:rsidRPr="00474EB0">
        <w:rPr>
          <w:rFonts w:ascii="Times New Roman" w:hAnsi="Times New Roman" w:cs="Times New Roman"/>
          <w:i/>
          <w:iCs/>
          <w:color w:val="000000" w:themeColor="text1"/>
        </w:rPr>
        <w:t>fatāwā</w:t>
      </w:r>
      <w:r w:rsidRPr="00474EB0">
        <w:rPr>
          <w:rFonts w:ascii="Times New Roman" w:hAnsi="Times New Roman" w:cs="Times New Roman"/>
          <w:color w:val="000000" w:themeColor="text1"/>
        </w:rPr>
        <w:t xml:space="preserve"> (avis juridiques) faisant autorité. Cependant, afin de compléter le tableau et d’envisager le phénomène juridique dans sa totalité, il convient d’ajouter à cette dichotomie classique entre principe et dérivés, l’ensemble des documents provenant de la pratique judiciaire, ceux produits dans le cadre des tribunaux de cadi et de l’institution notariale notamment, qui permettent à l’historien de se tenir au plus près du rôle quotidien du droit. Une nouvelle opposition dialectique se dessine donc entre une production littéraire et maîtrisée de la discipline du </w:t>
      </w:r>
      <w:r w:rsidRPr="00474EB0">
        <w:rPr>
          <w:rFonts w:ascii="Times New Roman" w:hAnsi="Times New Roman" w:cs="Times New Roman"/>
          <w:i/>
          <w:iCs/>
          <w:color w:val="000000" w:themeColor="text1"/>
        </w:rPr>
        <w:t>fiqh</w:t>
      </w:r>
      <w:r w:rsidRPr="00474EB0">
        <w:rPr>
          <w:rFonts w:ascii="Times New Roman" w:hAnsi="Times New Roman" w:cs="Times New Roman"/>
          <w:color w:val="000000" w:themeColor="text1"/>
        </w:rPr>
        <w:t>, qui se décline en principes et dérivés, et une autre plus vivante et dont l’étude révèle la pluralité de normes qui a toujours traversé les pratiques du droit au sein de l’Islam.</w:t>
      </w:r>
    </w:p>
    <w:p w14:paraId="29074078" w14:textId="77777777" w:rsidR="002141FA"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 xml:space="preserve">La compréhension et l’analyse de cet ensemble hétérogène de textes nécessitent la réunion de plusieurs compétences : celles du philosophe pour comprendre les grandes problématiques de la théorie juridique qui se présente comme une philosophie du droit et du langage, celle de l’islamologue et de l’historien des idées pour saisir les réalités anthropologiques du droit positif et ses filiations intellectuelles, enfin celle de l’historien du social pour reconstruire, par un va-et-vient critique entre faits et textes, les situations dont les archives des tribunaux ou les </w:t>
      </w:r>
      <w:r w:rsidRPr="00474EB0">
        <w:rPr>
          <w:rFonts w:ascii="Times New Roman" w:hAnsi="Times New Roman" w:cs="Times New Roman"/>
          <w:i/>
          <w:iCs/>
          <w:color w:val="000000" w:themeColor="text1"/>
        </w:rPr>
        <w:t>fatāwā</w:t>
      </w:r>
      <w:r w:rsidRPr="00474EB0">
        <w:rPr>
          <w:rFonts w:ascii="Times New Roman" w:hAnsi="Times New Roman" w:cs="Times New Roman"/>
          <w:color w:val="000000" w:themeColor="text1"/>
        </w:rPr>
        <w:t xml:space="preserve"> des jurisconsultes ne sont que des traces parfois infidèles. En réunissant huit spécialistes de chacune de ces disciplines, notre séminaire doctoral aura pour objectif une initiation au phénomène juridique musulman dans ses multiples facettes à travers la lecture et l’analyse de sources primaires en arabe. En huit séances d’une demi-journée, les participant.e.s auront l’occasion d’aborder de longs extraits de différents genres de la tradition du </w:t>
      </w:r>
      <w:r w:rsidRPr="00474EB0">
        <w:rPr>
          <w:rFonts w:ascii="Times New Roman" w:hAnsi="Times New Roman" w:cs="Times New Roman"/>
          <w:i/>
          <w:iCs/>
          <w:color w:val="000000" w:themeColor="text1"/>
        </w:rPr>
        <w:t>fiqh</w:t>
      </w:r>
      <w:r w:rsidRPr="00474EB0">
        <w:rPr>
          <w:rFonts w:ascii="Times New Roman" w:hAnsi="Times New Roman" w:cs="Times New Roman"/>
          <w:color w:val="000000" w:themeColor="text1"/>
        </w:rPr>
        <w:t>, afin de se familiariser dans un premier temps avec le lexique et la syntaxe des textes en question, puis d’apprendre à les exploiter de manière critique.</w:t>
      </w:r>
    </w:p>
    <w:p w14:paraId="164101F4" w14:textId="77777777" w:rsidR="002141FA" w:rsidRPr="00474EB0" w:rsidRDefault="002141FA" w:rsidP="002141FA">
      <w:pPr>
        <w:jc w:val="both"/>
        <w:rPr>
          <w:rFonts w:ascii="Times New Roman" w:hAnsi="Times New Roman" w:cs="Times New Roman"/>
          <w:color w:val="000000" w:themeColor="text1"/>
        </w:rPr>
      </w:pPr>
    </w:p>
    <w:p w14:paraId="708076DB" w14:textId="77777777" w:rsidR="007F37F8" w:rsidRDefault="007F37F8" w:rsidP="00474EB0">
      <w:pPr>
        <w:jc w:val="both"/>
        <w:rPr>
          <w:rFonts w:ascii="Times New Roman" w:hAnsi="Times New Roman" w:cs="Times New Roman"/>
          <w:b/>
          <w:bCs/>
          <w:color w:val="000000" w:themeColor="text1"/>
        </w:rPr>
      </w:pPr>
    </w:p>
    <w:p w14:paraId="0B5CAE7E" w14:textId="698754C5" w:rsidR="007F37F8" w:rsidRDefault="007F37F8" w:rsidP="00474EB0">
      <w:pPr>
        <w:jc w:val="both"/>
        <w:rPr>
          <w:rFonts w:ascii="Times New Roman" w:hAnsi="Times New Roman" w:cs="Times New Roman"/>
          <w:b/>
          <w:bCs/>
          <w:color w:val="000000" w:themeColor="text1"/>
        </w:rPr>
      </w:pPr>
      <w:r>
        <w:rPr>
          <w:rFonts w:ascii="Times New Roman" w:hAnsi="Times New Roman" w:cs="Times New Roman"/>
          <w:b/>
          <w:bCs/>
          <w:color w:val="000000" w:themeColor="text1"/>
        </w:rPr>
        <w:t>Encadrants</w:t>
      </w:r>
    </w:p>
    <w:p w14:paraId="27FB0A57" w14:textId="77777777" w:rsidR="007F37F8" w:rsidRDefault="007F37F8" w:rsidP="00474EB0">
      <w:pPr>
        <w:jc w:val="both"/>
        <w:rPr>
          <w:rFonts w:ascii="Times New Roman" w:hAnsi="Times New Roman" w:cs="Times New Roman"/>
          <w:b/>
          <w:bCs/>
          <w:color w:val="000000" w:themeColor="text1"/>
        </w:rPr>
      </w:pPr>
    </w:p>
    <w:p w14:paraId="66DE016C" w14:textId="3310FE1F" w:rsidR="007F37F8" w:rsidRPr="002141FA" w:rsidRDefault="007F37F8" w:rsidP="007F37F8">
      <w:pPr>
        <w:rPr>
          <w:rFonts w:ascii="Times New Roman" w:hAnsi="Times New Roman"/>
        </w:rPr>
      </w:pPr>
      <w:r w:rsidRPr="002141FA">
        <w:rPr>
          <w:rFonts w:ascii="Times New Roman" w:hAnsi="Times New Roman"/>
        </w:rPr>
        <w:t>Hocine Benkheira (EPHE)</w:t>
      </w:r>
    </w:p>
    <w:p w14:paraId="05D45B9C" w14:textId="0A16CE75" w:rsidR="007F37F8" w:rsidRPr="007F37F8" w:rsidRDefault="007F37F8" w:rsidP="007F37F8">
      <w:pPr>
        <w:rPr>
          <w:rFonts w:ascii="Times New Roman" w:hAnsi="Times New Roman"/>
        </w:rPr>
      </w:pPr>
      <w:r w:rsidRPr="007F37F8">
        <w:rPr>
          <w:rFonts w:ascii="Times New Roman" w:hAnsi="Times New Roman"/>
        </w:rPr>
        <w:t>Ziad Bou Akl (Centre Jean Pépin/CNRS)</w:t>
      </w:r>
    </w:p>
    <w:p w14:paraId="7FF5D4AE" w14:textId="14ED2401" w:rsidR="007F37F8" w:rsidRPr="007F37F8" w:rsidRDefault="007F37F8" w:rsidP="007F37F8">
      <w:pPr>
        <w:rPr>
          <w:rFonts w:ascii="Times New Roman" w:hAnsi="Times New Roman"/>
        </w:rPr>
      </w:pPr>
      <w:r w:rsidRPr="007F37F8">
        <w:rPr>
          <w:rFonts w:ascii="Times New Roman" w:hAnsi="Times New Roman"/>
        </w:rPr>
        <w:t>Fatima Zohra Guechi (Université de Constantine)</w:t>
      </w:r>
    </w:p>
    <w:p w14:paraId="685B5FC6" w14:textId="77777777" w:rsidR="007F37F8" w:rsidRPr="007F37F8" w:rsidRDefault="007F37F8" w:rsidP="007F37F8">
      <w:pPr>
        <w:rPr>
          <w:rFonts w:ascii="Times New Roman" w:hAnsi="Times New Roman"/>
          <w:lang w:val="fr-CH"/>
        </w:rPr>
      </w:pPr>
      <w:r w:rsidRPr="007F37F8">
        <w:rPr>
          <w:rFonts w:ascii="Times New Roman" w:hAnsi="Times New Roman"/>
        </w:rPr>
        <w:t>Khaled Fahmy (Université de Cambridge)</w:t>
      </w:r>
    </w:p>
    <w:p w14:paraId="2BE76D5D" w14:textId="118F4106" w:rsidR="007F37F8" w:rsidRPr="007F37F8" w:rsidRDefault="007F37F8" w:rsidP="007F37F8">
      <w:pPr>
        <w:rPr>
          <w:rFonts w:ascii="Times New Roman" w:hAnsi="Times New Roman"/>
          <w:lang w:val="fr-CH"/>
        </w:rPr>
      </w:pPr>
      <w:r w:rsidRPr="007F37F8">
        <w:rPr>
          <w:rFonts w:ascii="Times New Roman" w:hAnsi="Times New Roman"/>
        </w:rPr>
        <w:t>Shahid Mathee (Université de Johannesburg)</w:t>
      </w:r>
    </w:p>
    <w:p w14:paraId="6950D6C8" w14:textId="36938E9A" w:rsidR="007F37F8" w:rsidRPr="007F37F8" w:rsidRDefault="007F37F8" w:rsidP="007F37F8">
      <w:pPr>
        <w:rPr>
          <w:rFonts w:ascii="Times New Roman" w:hAnsi="Times New Roman"/>
          <w:lang w:val="fr-CH"/>
        </w:rPr>
      </w:pPr>
      <w:r w:rsidRPr="007F37F8">
        <w:rPr>
          <w:rFonts w:ascii="Times New Roman" w:hAnsi="Times New Roman"/>
          <w:lang w:val="fr-CH"/>
        </w:rPr>
        <w:t>Christian Müller (IRHT/CNRS)</w:t>
      </w:r>
    </w:p>
    <w:p w14:paraId="75CAB90C" w14:textId="77777777" w:rsidR="007F37F8" w:rsidRPr="007F37F8" w:rsidRDefault="007F37F8" w:rsidP="007F37F8">
      <w:pPr>
        <w:rPr>
          <w:rFonts w:ascii="Times New Roman" w:hAnsi="Times New Roman"/>
          <w:lang w:val="fr-CH"/>
        </w:rPr>
      </w:pPr>
      <w:r w:rsidRPr="007F37F8">
        <w:rPr>
          <w:rFonts w:ascii="Times New Roman" w:hAnsi="Times New Roman"/>
          <w:lang w:val="fr-CH"/>
        </w:rPr>
        <w:t>Houari Touati (EHESS)</w:t>
      </w:r>
    </w:p>
    <w:p w14:paraId="5D9783CE" w14:textId="688AF987" w:rsidR="007F37F8" w:rsidRPr="007F37F8" w:rsidRDefault="007F37F8" w:rsidP="007F37F8">
      <w:pPr>
        <w:rPr>
          <w:rFonts w:ascii="Times New Roman" w:hAnsi="Times New Roman"/>
          <w:lang w:val="fr-CH"/>
        </w:rPr>
      </w:pPr>
      <w:r w:rsidRPr="007F37F8">
        <w:rPr>
          <w:rFonts w:ascii="Times New Roman" w:hAnsi="Times New Roman"/>
        </w:rPr>
        <w:t>Ismail Warscheid (IRHT/CNRS)</w:t>
      </w:r>
    </w:p>
    <w:p w14:paraId="1E8182E5" w14:textId="77777777" w:rsidR="007F37F8" w:rsidRPr="007F37F8" w:rsidRDefault="007F37F8" w:rsidP="00474EB0">
      <w:pPr>
        <w:jc w:val="both"/>
        <w:rPr>
          <w:rFonts w:ascii="Times New Roman" w:hAnsi="Times New Roman" w:cs="Times New Roman"/>
          <w:b/>
          <w:bCs/>
          <w:color w:val="000000" w:themeColor="text1"/>
        </w:rPr>
      </w:pPr>
    </w:p>
    <w:p w14:paraId="7D9EBFDB" w14:textId="77777777" w:rsidR="007F37F8" w:rsidRPr="007F37F8" w:rsidRDefault="007F37F8" w:rsidP="00474EB0">
      <w:pPr>
        <w:jc w:val="both"/>
        <w:rPr>
          <w:rFonts w:ascii="Times New Roman" w:hAnsi="Times New Roman" w:cs="Times New Roman"/>
          <w:b/>
          <w:bCs/>
          <w:color w:val="000000" w:themeColor="text1"/>
        </w:rPr>
      </w:pPr>
    </w:p>
    <w:p w14:paraId="327CA794" w14:textId="77777777" w:rsidR="002141FA" w:rsidRPr="00474EB0" w:rsidRDefault="002141FA" w:rsidP="002141FA">
      <w:pPr>
        <w:jc w:val="both"/>
        <w:rPr>
          <w:rFonts w:ascii="Times New Roman" w:hAnsi="Times New Roman" w:cs="Times New Roman"/>
          <w:b/>
          <w:bCs/>
          <w:color w:val="000000" w:themeColor="text1"/>
        </w:rPr>
      </w:pPr>
      <w:r w:rsidRPr="00474EB0">
        <w:rPr>
          <w:rFonts w:ascii="Times New Roman" w:hAnsi="Times New Roman" w:cs="Times New Roman"/>
          <w:b/>
          <w:bCs/>
          <w:color w:val="000000" w:themeColor="text1"/>
        </w:rPr>
        <w:t xml:space="preserve">Déroulement de la session </w:t>
      </w:r>
    </w:p>
    <w:p w14:paraId="73359C46" w14:textId="77777777" w:rsidR="002141FA" w:rsidRPr="00474EB0" w:rsidRDefault="002141FA" w:rsidP="002141FA">
      <w:pPr>
        <w:jc w:val="both"/>
        <w:rPr>
          <w:rFonts w:ascii="Times New Roman" w:hAnsi="Times New Roman" w:cs="Times New Roman"/>
          <w:color w:val="000000" w:themeColor="text1"/>
        </w:rPr>
      </w:pPr>
    </w:p>
    <w:p w14:paraId="6AB91C84"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 xml:space="preserve">La formation consistera en une série d’ateliers pratiques consacrés aux différents aspects de l’étude du droit en Islam. Dans chaque séance, un encadrant étudiera avec les participant.e.s des sources primaires liées à son domaine de recherche en mettant l’accent sur les spécificités techniques du texte et sur les questions de méthodologie dans l’analyse discursive. Les interventions se feront en français et en anglais à partir de la lecture de textes en arabe. </w:t>
      </w:r>
    </w:p>
    <w:p w14:paraId="5A87F427" w14:textId="77777777" w:rsidR="002141FA" w:rsidRPr="00474EB0" w:rsidRDefault="002141FA" w:rsidP="002141FA">
      <w:pPr>
        <w:jc w:val="both"/>
        <w:rPr>
          <w:rFonts w:ascii="Times New Roman" w:hAnsi="Times New Roman" w:cs="Times New Roman"/>
          <w:color w:val="000000" w:themeColor="text1"/>
        </w:rPr>
      </w:pPr>
    </w:p>
    <w:p w14:paraId="2CAE7434" w14:textId="77777777" w:rsidR="002141FA" w:rsidRPr="00474EB0" w:rsidRDefault="002141FA" w:rsidP="002141FA">
      <w:pPr>
        <w:jc w:val="both"/>
        <w:rPr>
          <w:rFonts w:ascii="Times New Roman" w:hAnsi="Times New Roman" w:cs="Times New Roman"/>
          <w:b/>
          <w:bCs/>
          <w:color w:val="000000" w:themeColor="text1"/>
        </w:rPr>
      </w:pPr>
      <w:r w:rsidRPr="00474EB0">
        <w:rPr>
          <w:rFonts w:ascii="Times New Roman" w:hAnsi="Times New Roman" w:cs="Times New Roman"/>
          <w:b/>
          <w:bCs/>
          <w:color w:val="000000" w:themeColor="text1"/>
        </w:rPr>
        <w:t>Frais d’inscription </w:t>
      </w:r>
    </w:p>
    <w:p w14:paraId="3BACC848" w14:textId="77777777" w:rsidR="002141FA" w:rsidRDefault="002141FA" w:rsidP="002141FA">
      <w:pPr>
        <w:jc w:val="both"/>
        <w:rPr>
          <w:rFonts w:ascii="Times New Roman" w:hAnsi="Times New Roman" w:cs="Times New Roman"/>
          <w:color w:val="000000" w:themeColor="text1"/>
        </w:rPr>
      </w:pPr>
    </w:p>
    <w:p w14:paraId="6E8C4061"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Aucune participation n’est demandée aux étudiant</w:t>
      </w:r>
      <w:r>
        <w:rPr>
          <w:rFonts w:ascii="Times New Roman" w:hAnsi="Times New Roman" w:cs="Times New Roman"/>
          <w:color w:val="000000" w:themeColor="text1"/>
        </w:rPr>
        <w:t>.e.</w:t>
      </w:r>
      <w:r w:rsidRPr="00474EB0">
        <w:rPr>
          <w:rFonts w:ascii="Times New Roman" w:hAnsi="Times New Roman" w:cs="Times New Roman"/>
          <w:color w:val="000000" w:themeColor="text1"/>
        </w:rPr>
        <w:t xml:space="preserve">s. </w:t>
      </w:r>
    </w:p>
    <w:p w14:paraId="158EBB5B" w14:textId="77777777" w:rsidR="002141FA" w:rsidRPr="00474EB0" w:rsidRDefault="002141FA" w:rsidP="002141FA">
      <w:pPr>
        <w:jc w:val="both"/>
        <w:rPr>
          <w:rFonts w:ascii="Times New Roman" w:hAnsi="Times New Roman" w:cs="Times New Roman"/>
          <w:color w:val="000000" w:themeColor="text1"/>
        </w:rPr>
      </w:pPr>
      <w:r w:rsidRPr="00474EB0">
        <w:rPr>
          <w:rFonts w:ascii="Times New Roman" w:hAnsi="Times New Roman" w:cs="Times New Roman"/>
          <w:color w:val="000000" w:themeColor="text1"/>
        </w:rPr>
        <w:t xml:space="preserve">Les déjeuners seront pris en charge ainsi que le dîner final. </w:t>
      </w:r>
    </w:p>
    <w:p w14:paraId="1FB65E1D" w14:textId="77777777" w:rsidR="002141FA" w:rsidRPr="00474EB0" w:rsidRDefault="002141FA" w:rsidP="002141FA">
      <w:pPr>
        <w:jc w:val="both"/>
        <w:rPr>
          <w:rFonts w:ascii="Times New Roman" w:hAnsi="Times New Roman" w:cs="Times New Roman"/>
          <w:color w:val="000000" w:themeColor="text1"/>
          <w:lang w:val="fr-CH"/>
        </w:rPr>
      </w:pPr>
      <w:r w:rsidRPr="00474EB0">
        <w:rPr>
          <w:rFonts w:ascii="Times New Roman" w:hAnsi="Times New Roman" w:cs="Times New Roman"/>
          <w:color w:val="000000" w:themeColor="text1"/>
          <w:lang w:val="fr-CH"/>
        </w:rPr>
        <w:t xml:space="preserve">Les </w:t>
      </w:r>
      <w:r w:rsidRPr="00474EB0">
        <w:rPr>
          <w:rFonts w:ascii="Times New Roman" w:hAnsi="Times New Roman" w:cs="Times New Roman"/>
          <w:color w:val="000000" w:themeColor="text1"/>
        </w:rPr>
        <w:t xml:space="preserve">étudiant.e.s </w:t>
      </w:r>
      <w:r w:rsidRPr="00474EB0">
        <w:rPr>
          <w:rFonts w:ascii="Times New Roman" w:hAnsi="Times New Roman" w:cs="Times New Roman"/>
          <w:color w:val="000000" w:themeColor="text1"/>
          <w:lang w:val="fr-CH"/>
        </w:rPr>
        <w:t xml:space="preserve">qui souhaitent candidater à une aide financière pour la mise en place de leur séjour doivent nous adresser les dates de leur venue et un budget (vol et/ou hébergement). Nos capacités de financement étant limitées, nous vous encourageons à vous adresser en priorité à vos institutions de rattachement pour la prise en charge de vos frais de voyage. </w:t>
      </w:r>
    </w:p>
    <w:p w14:paraId="32454006" w14:textId="77777777" w:rsidR="002141FA" w:rsidRPr="00474EB0" w:rsidRDefault="002141FA" w:rsidP="002141FA">
      <w:pPr>
        <w:jc w:val="both"/>
        <w:rPr>
          <w:rFonts w:ascii="Times New Roman" w:hAnsi="Times New Roman" w:cs="Times New Roman"/>
          <w:color w:val="000000" w:themeColor="text1"/>
          <w:lang w:val="fr-CH"/>
        </w:rPr>
      </w:pPr>
    </w:p>
    <w:p w14:paraId="25B5F694" w14:textId="77777777" w:rsidR="002141FA" w:rsidRPr="00474EB0" w:rsidRDefault="002141FA" w:rsidP="002141FA">
      <w:pPr>
        <w:jc w:val="both"/>
        <w:rPr>
          <w:rFonts w:ascii="Times New Roman" w:hAnsi="Times New Roman" w:cs="Times New Roman"/>
          <w:b/>
          <w:bCs/>
          <w:color w:val="000000" w:themeColor="text1"/>
        </w:rPr>
      </w:pPr>
      <w:r w:rsidRPr="00474EB0">
        <w:rPr>
          <w:rFonts w:ascii="Times New Roman" w:hAnsi="Times New Roman" w:cs="Times New Roman"/>
          <w:b/>
          <w:bCs/>
          <w:color w:val="000000" w:themeColor="text1"/>
        </w:rPr>
        <w:t>Candidatures</w:t>
      </w:r>
    </w:p>
    <w:p w14:paraId="50C161C8" w14:textId="77777777" w:rsidR="002141FA" w:rsidRDefault="002141FA" w:rsidP="002141FA">
      <w:pPr>
        <w:jc w:val="both"/>
        <w:rPr>
          <w:rFonts w:ascii="Times New Roman" w:hAnsi="Times New Roman" w:cs="Times New Roman"/>
          <w:color w:val="000000" w:themeColor="text1"/>
        </w:rPr>
      </w:pPr>
    </w:p>
    <w:p w14:paraId="25D12394" w14:textId="77777777" w:rsidR="002141FA" w:rsidRPr="00474EB0" w:rsidRDefault="002141FA" w:rsidP="002141FA">
      <w:pPr>
        <w:jc w:val="both"/>
        <w:rPr>
          <w:rFonts w:ascii="Times New Roman" w:hAnsi="Times New Roman" w:cs="Times New Roman"/>
          <w:color w:val="000000" w:themeColor="text1"/>
          <w:lang w:val="fr-CH"/>
        </w:rPr>
      </w:pPr>
      <w:r w:rsidRPr="00474EB0">
        <w:rPr>
          <w:rFonts w:ascii="Times New Roman" w:hAnsi="Times New Roman" w:cs="Times New Roman"/>
          <w:color w:val="000000" w:themeColor="text1"/>
        </w:rPr>
        <w:t xml:space="preserve">L’école réunira une vingtaine d’étudiant.e.s en doctorat et en master venant des universités françaises, des pays du Maghreb (Algérie, Maroc, Tunisie) du Moyen-Orient (Égypte, Liban, Jordanie, Turquie) et du Sahel (Mauritanie, Mali, Niger, Sénégal), disposant de solides connaissances d’arabe littéraire et maîtrisant le français ainsi que l’anglais. La </w:t>
      </w:r>
      <w:r w:rsidRPr="00474EB0">
        <w:rPr>
          <w:rFonts w:ascii="Times New Roman" w:hAnsi="Times New Roman" w:cs="Times New Roman"/>
          <w:color w:val="000000" w:themeColor="text1"/>
          <w:lang w:val="fr-CH"/>
        </w:rPr>
        <w:t xml:space="preserve">sélection s’effectuera sur la base d’un </w:t>
      </w:r>
      <w:r w:rsidRPr="00474EB0">
        <w:rPr>
          <w:rFonts w:ascii="Times New Roman" w:hAnsi="Times New Roman" w:cs="Times New Roman"/>
          <w:i/>
          <w:iCs/>
          <w:color w:val="000000" w:themeColor="text1"/>
          <w:lang w:val="fr-CH"/>
        </w:rPr>
        <w:t>curriculum vitae</w:t>
      </w:r>
      <w:r w:rsidRPr="00474EB0">
        <w:rPr>
          <w:rFonts w:ascii="Times New Roman" w:hAnsi="Times New Roman" w:cs="Times New Roman"/>
          <w:color w:val="000000" w:themeColor="text1"/>
          <w:lang w:val="fr-CH"/>
        </w:rPr>
        <w:t xml:space="preserve">, d’une lettre de motivation précisant le projet de recherche de l’étudiant.e et son lien avec le thème de l’école, ainsi que d’une lettre de recommandation du directeur de thèse.  </w:t>
      </w:r>
      <w:r w:rsidRPr="00474EB0">
        <w:rPr>
          <w:rFonts w:ascii="Times New Roman" w:eastAsia="Times New Roman" w:hAnsi="Times New Roman" w:cs="Times New Roman"/>
          <w:color w:val="000000" w:themeColor="text1"/>
          <w:shd w:val="clear" w:color="auto" w:fill="FFFFFF"/>
          <w:lang w:eastAsia="fr-FR"/>
        </w:rPr>
        <w:t xml:space="preserve">Les </w:t>
      </w:r>
      <w:r w:rsidRPr="00474EB0">
        <w:rPr>
          <w:rFonts w:ascii="Times New Roman" w:hAnsi="Times New Roman" w:cs="Times New Roman"/>
          <w:color w:val="000000" w:themeColor="text1"/>
        </w:rPr>
        <w:t xml:space="preserve">étudiant.e.s </w:t>
      </w:r>
      <w:r w:rsidRPr="00474EB0">
        <w:rPr>
          <w:rFonts w:ascii="Times New Roman" w:eastAsia="Times New Roman" w:hAnsi="Times New Roman" w:cs="Times New Roman"/>
          <w:color w:val="000000" w:themeColor="text1"/>
          <w:shd w:val="clear" w:color="auto" w:fill="FFFFFF"/>
          <w:lang w:eastAsia="fr-FR"/>
        </w:rPr>
        <w:t>dont les frais de mission seront pris en charge s’engagent à assister à la totalité de la session et à respecter les dates de départ et de retour qu’implique la session.</w:t>
      </w:r>
    </w:p>
    <w:p w14:paraId="634EAA26" w14:textId="77777777" w:rsidR="002141FA" w:rsidRPr="00474EB0" w:rsidRDefault="002141FA" w:rsidP="002141FA">
      <w:pPr>
        <w:jc w:val="both"/>
        <w:rPr>
          <w:rFonts w:ascii="Times New Roman" w:hAnsi="Times New Roman" w:cs="Times New Roman"/>
          <w:color w:val="000000" w:themeColor="text1"/>
          <w:lang w:val="fr-CH"/>
        </w:rPr>
      </w:pPr>
    </w:p>
    <w:p w14:paraId="5BE25549" w14:textId="77777777" w:rsidR="002141FA" w:rsidRPr="004250A9" w:rsidRDefault="002141FA" w:rsidP="002141FA">
      <w:pPr>
        <w:jc w:val="both"/>
        <w:rPr>
          <w:rFonts w:ascii="Times New Roman" w:hAnsi="Times New Roman" w:cs="Times New Roman"/>
          <w:color w:val="000000" w:themeColor="text1"/>
        </w:rPr>
      </w:pPr>
    </w:p>
    <w:p w14:paraId="14EEB76D" w14:textId="77777777" w:rsidR="002141FA" w:rsidRDefault="002141FA" w:rsidP="002141FA">
      <w:pPr>
        <w:jc w:val="both"/>
        <w:rPr>
          <w:rFonts w:ascii="Times New Roman" w:eastAsia="Times New Roman" w:hAnsi="Times New Roman" w:cs="Times New Roman"/>
          <w:color w:val="000000" w:themeColor="text1"/>
        </w:rPr>
      </w:pPr>
      <w:r w:rsidRPr="00474EB0">
        <w:rPr>
          <w:rFonts w:ascii="Times New Roman" w:eastAsia="Times New Roman" w:hAnsi="Times New Roman" w:cs="Times New Roman"/>
          <w:color w:val="000000" w:themeColor="text1"/>
        </w:rPr>
        <w:t>Les dossiers de candidature doivent être envoyés à ces adresses :</w:t>
      </w:r>
    </w:p>
    <w:p w14:paraId="24FF8546" w14:textId="77777777" w:rsidR="002141FA" w:rsidRPr="00474EB0" w:rsidRDefault="002141FA" w:rsidP="002141FA">
      <w:pPr>
        <w:jc w:val="both"/>
        <w:rPr>
          <w:rFonts w:ascii="Times New Roman" w:eastAsia="Times New Roman" w:hAnsi="Times New Roman" w:cs="Times New Roman"/>
          <w:color w:val="000000" w:themeColor="text1"/>
        </w:rPr>
      </w:pPr>
    </w:p>
    <w:p w14:paraId="79A89C80" w14:textId="77777777" w:rsidR="002141FA" w:rsidRPr="00474EB0" w:rsidRDefault="00C227DB" w:rsidP="002141FA">
      <w:pPr>
        <w:jc w:val="both"/>
        <w:rPr>
          <w:rFonts w:ascii="Times New Roman" w:hAnsi="Times New Roman" w:cs="Times New Roman"/>
          <w:color w:val="000000" w:themeColor="text1"/>
        </w:rPr>
      </w:pPr>
      <w:hyperlink r:id="rId8" w:history="1">
        <w:r w:rsidR="002141FA" w:rsidRPr="00474EB0">
          <w:rPr>
            <w:rStyle w:val="Hyperlink"/>
            <w:rFonts w:ascii="Times New Roman" w:hAnsi="Times New Roman" w:cs="Times New Roman"/>
            <w:bCs/>
            <w:color w:val="000000" w:themeColor="text1"/>
          </w:rPr>
          <w:t>ziad.bou.akl@ens.fr</w:t>
        </w:r>
      </w:hyperlink>
    </w:p>
    <w:p w14:paraId="5488E50B" w14:textId="77777777" w:rsidR="002141FA" w:rsidRPr="00474EB0" w:rsidRDefault="00C227DB" w:rsidP="002141FA">
      <w:pPr>
        <w:jc w:val="both"/>
        <w:rPr>
          <w:rFonts w:ascii="Times New Roman" w:hAnsi="Times New Roman" w:cs="Times New Roman"/>
          <w:color w:val="000000" w:themeColor="text1"/>
        </w:rPr>
      </w:pPr>
      <w:hyperlink r:id="rId9" w:history="1">
        <w:r w:rsidR="002141FA" w:rsidRPr="00474EB0">
          <w:rPr>
            <w:rStyle w:val="Hyperlink"/>
            <w:rFonts w:ascii="Times New Roman" w:hAnsi="Times New Roman" w:cs="Times New Roman"/>
            <w:color w:val="000000" w:themeColor="text1"/>
          </w:rPr>
          <w:t>ismail.warscheid@irht.cnrs.fr</w:t>
        </w:r>
      </w:hyperlink>
    </w:p>
    <w:p w14:paraId="22C7AB4B" w14:textId="77777777" w:rsidR="002141FA" w:rsidRDefault="002141FA" w:rsidP="002141FA">
      <w:pPr>
        <w:jc w:val="both"/>
        <w:rPr>
          <w:rFonts w:ascii="Times New Roman" w:hAnsi="Times New Roman" w:cs="Times New Roman"/>
          <w:b/>
          <w:bCs/>
          <w:color w:val="000000" w:themeColor="text1"/>
        </w:rPr>
      </w:pPr>
    </w:p>
    <w:p w14:paraId="61031CFC" w14:textId="77777777" w:rsidR="002141FA" w:rsidRPr="00474EB0" w:rsidRDefault="002141FA" w:rsidP="002141FA">
      <w:pPr>
        <w:jc w:val="both"/>
        <w:rPr>
          <w:rFonts w:ascii="Times New Roman" w:hAnsi="Times New Roman" w:cs="Times New Roman"/>
          <w:b/>
          <w:bCs/>
          <w:color w:val="000000" w:themeColor="text1"/>
        </w:rPr>
      </w:pPr>
      <w:r w:rsidRPr="00474EB0">
        <w:rPr>
          <w:rFonts w:ascii="Times New Roman" w:hAnsi="Times New Roman" w:cs="Times New Roman"/>
          <w:b/>
          <w:bCs/>
          <w:color w:val="000000" w:themeColor="text1"/>
        </w:rPr>
        <w:t>Date limite d’envoi : 31.07.2018</w:t>
      </w:r>
    </w:p>
    <w:bookmarkEnd w:id="0"/>
    <w:p w14:paraId="4F7BC6FD" w14:textId="77777777" w:rsidR="002141FA" w:rsidRDefault="002141FA" w:rsidP="002141FA">
      <w:pPr>
        <w:jc w:val="both"/>
        <w:rPr>
          <w:rFonts w:ascii="Times New Roman" w:hAnsi="Times New Roman" w:cs="Times New Roman"/>
          <w:color w:val="000000" w:themeColor="text1"/>
        </w:rPr>
      </w:pPr>
    </w:p>
    <w:p w14:paraId="5A8DB0C6" w14:textId="77777777" w:rsidR="002141FA" w:rsidRDefault="002141FA" w:rsidP="002141FA">
      <w:pPr>
        <w:jc w:val="both"/>
        <w:rPr>
          <w:rFonts w:ascii="Times New Roman" w:hAnsi="Times New Roman" w:cs="Times New Roman"/>
          <w:color w:val="000000" w:themeColor="text1"/>
        </w:rPr>
      </w:pPr>
    </w:p>
    <w:p w14:paraId="4FC65797" w14:textId="77777777" w:rsidR="006567A5" w:rsidRDefault="006567A5" w:rsidP="00474EB0">
      <w:pPr>
        <w:jc w:val="both"/>
        <w:rPr>
          <w:rFonts w:ascii="Times New Roman" w:hAnsi="Times New Roman" w:cs="Times New Roman"/>
          <w:color w:val="000000" w:themeColor="text1"/>
        </w:rPr>
      </w:pPr>
    </w:p>
    <w:p w14:paraId="071B189F" w14:textId="77777777" w:rsidR="006567A5" w:rsidRPr="00474EB0" w:rsidRDefault="006567A5" w:rsidP="00474EB0">
      <w:pPr>
        <w:jc w:val="both"/>
        <w:rPr>
          <w:rFonts w:ascii="Times New Roman" w:hAnsi="Times New Roman" w:cs="Times New Roman"/>
          <w:color w:val="000000" w:themeColor="text1"/>
        </w:rPr>
      </w:pPr>
    </w:p>
    <w:p w14:paraId="7252A6A1" w14:textId="77777777" w:rsidR="00C71C3E" w:rsidRDefault="00C71C3E" w:rsidP="00474EB0">
      <w:pPr>
        <w:jc w:val="both"/>
        <w:rPr>
          <w:rFonts w:ascii="Times New Roman" w:hAnsi="Times New Roman" w:cs="Times New Roman"/>
          <w:color w:val="000000" w:themeColor="text1"/>
        </w:rPr>
      </w:pPr>
    </w:p>
    <w:p w14:paraId="60438E51" w14:textId="77777777" w:rsidR="006567A5" w:rsidRDefault="006567A5" w:rsidP="00474EB0">
      <w:pPr>
        <w:jc w:val="both"/>
        <w:rPr>
          <w:rFonts w:ascii="Times New Roman" w:hAnsi="Times New Roman" w:cs="Times New Roman"/>
          <w:color w:val="000000" w:themeColor="text1"/>
        </w:rPr>
      </w:pPr>
    </w:p>
    <w:p w14:paraId="1AB79A29" w14:textId="245E38C9" w:rsidR="006567A5" w:rsidRPr="00474EB0" w:rsidRDefault="006567A5" w:rsidP="00474EB0">
      <w:pPr>
        <w:jc w:val="both"/>
        <w:rPr>
          <w:rFonts w:ascii="Times New Roman" w:hAnsi="Times New Roman" w:cs="Times New Roman"/>
          <w:color w:val="000000" w:themeColor="text1"/>
        </w:rPr>
      </w:pPr>
    </w:p>
    <w:sectPr w:rsidR="006567A5" w:rsidRPr="00474EB0" w:rsidSect="009A085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529A2"/>
    <w:multiLevelType w:val="hybridMultilevel"/>
    <w:tmpl w:val="C010D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90"/>
    <w:rsid w:val="00091948"/>
    <w:rsid w:val="0009714B"/>
    <w:rsid w:val="00205B80"/>
    <w:rsid w:val="002141FA"/>
    <w:rsid w:val="00256885"/>
    <w:rsid w:val="00335928"/>
    <w:rsid w:val="003B483E"/>
    <w:rsid w:val="003E177D"/>
    <w:rsid w:val="004250A9"/>
    <w:rsid w:val="00431CE2"/>
    <w:rsid w:val="004506AB"/>
    <w:rsid w:val="00474EB0"/>
    <w:rsid w:val="006567A5"/>
    <w:rsid w:val="006B0A7B"/>
    <w:rsid w:val="006B3A84"/>
    <w:rsid w:val="006C2E40"/>
    <w:rsid w:val="006C401A"/>
    <w:rsid w:val="007E519A"/>
    <w:rsid w:val="007F37F8"/>
    <w:rsid w:val="00832100"/>
    <w:rsid w:val="00907B3A"/>
    <w:rsid w:val="009A0856"/>
    <w:rsid w:val="009A5B60"/>
    <w:rsid w:val="009D5A9B"/>
    <w:rsid w:val="00B0086A"/>
    <w:rsid w:val="00B75D0D"/>
    <w:rsid w:val="00B813DD"/>
    <w:rsid w:val="00BE1A16"/>
    <w:rsid w:val="00C227DB"/>
    <w:rsid w:val="00C308F3"/>
    <w:rsid w:val="00C40F1D"/>
    <w:rsid w:val="00C45902"/>
    <w:rsid w:val="00C500F3"/>
    <w:rsid w:val="00C55D5C"/>
    <w:rsid w:val="00C71C3E"/>
    <w:rsid w:val="00D13190"/>
    <w:rsid w:val="00D7289F"/>
    <w:rsid w:val="00DE26E9"/>
    <w:rsid w:val="00F927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0980"/>
  <w15:chartTrackingRefBased/>
  <w15:docId w15:val="{6A98908A-05B6-BC46-BE13-8F8405B4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5A9B"/>
    <w:rPr>
      <w:sz w:val="16"/>
      <w:szCs w:val="16"/>
    </w:rPr>
  </w:style>
  <w:style w:type="paragraph" w:styleId="CommentText">
    <w:name w:val="annotation text"/>
    <w:basedOn w:val="Normal"/>
    <w:link w:val="CommentTextChar"/>
    <w:uiPriority w:val="99"/>
    <w:semiHidden/>
    <w:unhideWhenUsed/>
    <w:rsid w:val="009D5A9B"/>
    <w:rPr>
      <w:sz w:val="20"/>
      <w:szCs w:val="20"/>
    </w:rPr>
  </w:style>
  <w:style w:type="character" w:customStyle="1" w:styleId="CommentTextChar">
    <w:name w:val="Comment Text Char"/>
    <w:basedOn w:val="DefaultParagraphFont"/>
    <w:link w:val="CommentText"/>
    <w:uiPriority w:val="99"/>
    <w:semiHidden/>
    <w:rsid w:val="009D5A9B"/>
    <w:rPr>
      <w:sz w:val="20"/>
      <w:szCs w:val="20"/>
    </w:rPr>
  </w:style>
  <w:style w:type="paragraph" w:styleId="CommentSubject">
    <w:name w:val="annotation subject"/>
    <w:basedOn w:val="CommentText"/>
    <w:next w:val="CommentText"/>
    <w:link w:val="CommentSubjectChar"/>
    <w:uiPriority w:val="99"/>
    <w:semiHidden/>
    <w:unhideWhenUsed/>
    <w:rsid w:val="009D5A9B"/>
    <w:rPr>
      <w:b/>
      <w:bCs/>
    </w:rPr>
  </w:style>
  <w:style w:type="character" w:customStyle="1" w:styleId="CommentSubjectChar">
    <w:name w:val="Comment Subject Char"/>
    <w:basedOn w:val="CommentTextChar"/>
    <w:link w:val="CommentSubject"/>
    <w:uiPriority w:val="99"/>
    <w:semiHidden/>
    <w:rsid w:val="009D5A9B"/>
    <w:rPr>
      <w:b/>
      <w:bCs/>
      <w:sz w:val="20"/>
      <w:szCs w:val="20"/>
    </w:rPr>
  </w:style>
  <w:style w:type="paragraph" w:styleId="BalloonText">
    <w:name w:val="Balloon Text"/>
    <w:basedOn w:val="Normal"/>
    <w:link w:val="BalloonTextChar"/>
    <w:uiPriority w:val="99"/>
    <w:semiHidden/>
    <w:unhideWhenUsed/>
    <w:rsid w:val="009D5A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A9B"/>
    <w:rPr>
      <w:rFonts w:ascii="Times New Roman" w:hAnsi="Times New Roman" w:cs="Times New Roman"/>
      <w:sz w:val="18"/>
      <w:szCs w:val="18"/>
    </w:rPr>
  </w:style>
  <w:style w:type="paragraph" w:styleId="ListParagraph">
    <w:name w:val="List Paragraph"/>
    <w:basedOn w:val="Normal"/>
    <w:uiPriority w:val="34"/>
    <w:qFormat/>
    <w:rsid w:val="00BE1A16"/>
    <w:pPr>
      <w:ind w:left="720"/>
      <w:contextualSpacing/>
    </w:pPr>
  </w:style>
  <w:style w:type="paragraph" w:styleId="NormalWeb">
    <w:name w:val="Normal (Web)"/>
    <w:basedOn w:val="Normal"/>
    <w:uiPriority w:val="99"/>
    <w:semiHidden/>
    <w:unhideWhenUsed/>
    <w:rsid w:val="00BE1A16"/>
    <w:pPr>
      <w:spacing w:before="100" w:beforeAutospacing="1" w:after="100" w:afterAutospacing="1"/>
    </w:pPr>
    <w:rPr>
      <w:rFonts w:ascii="Times New Roman" w:eastAsia="Times New Roman" w:hAnsi="Times New Roman" w:cs="Times New Roman"/>
      <w:lang w:eastAsia="fr-FR"/>
    </w:rPr>
  </w:style>
  <w:style w:type="paragraph" w:styleId="NoSpacing">
    <w:name w:val="No Spacing"/>
    <w:uiPriority w:val="1"/>
    <w:qFormat/>
    <w:rsid w:val="00BE1A16"/>
  </w:style>
  <w:style w:type="character" w:styleId="Hyperlink">
    <w:name w:val="Hyperlink"/>
    <w:basedOn w:val="DefaultParagraphFont"/>
    <w:uiPriority w:val="99"/>
    <w:unhideWhenUsed/>
    <w:rsid w:val="00C71C3E"/>
    <w:rPr>
      <w:color w:val="0563C1" w:themeColor="hyperlink"/>
      <w:u w:val="single"/>
    </w:rPr>
  </w:style>
  <w:style w:type="character" w:customStyle="1" w:styleId="UnresolvedMention">
    <w:name w:val="Unresolved Mention"/>
    <w:basedOn w:val="DefaultParagraphFont"/>
    <w:uiPriority w:val="99"/>
    <w:rsid w:val="00C71C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56341">
      <w:bodyDiv w:val="1"/>
      <w:marLeft w:val="0"/>
      <w:marRight w:val="0"/>
      <w:marTop w:val="0"/>
      <w:marBottom w:val="0"/>
      <w:divBdr>
        <w:top w:val="none" w:sz="0" w:space="0" w:color="auto"/>
        <w:left w:val="none" w:sz="0" w:space="0" w:color="auto"/>
        <w:bottom w:val="none" w:sz="0" w:space="0" w:color="auto"/>
        <w:right w:val="none" w:sz="0" w:space="0" w:color="auto"/>
      </w:divBdr>
    </w:div>
    <w:div w:id="20944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akl@vjf.cnrs.f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mail.warscheid@irht.cnr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5630</Characters>
  <Application>Microsoft Office Word</Application>
  <DocSecurity>4</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dc:creator>
  <cp:keywords/>
  <dc:description/>
  <cp:lastModifiedBy>Receptie</cp:lastModifiedBy>
  <cp:revision>2</cp:revision>
  <dcterms:created xsi:type="dcterms:W3CDTF">2018-07-03T10:35:00Z</dcterms:created>
  <dcterms:modified xsi:type="dcterms:W3CDTF">2018-07-03T10:35:00Z</dcterms:modified>
</cp:coreProperties>
</file>