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69" w:rsidRDefault="002E4869" w:rsidP="002E4869">
      <w:pPr>
        <w:rPr>
          <w:rFonts w:ascii="Constantia" w:hAnsi="Constantia"/>
          <w:sz w:val="28"/>
        </w:rPr>
      </w:pPr>
      <w:r>
        <w:rPr>
          <w:rFonts w:ascii="Constantia" w:hAnsi="Constantia"/>
          <w:noProof/>
          <w:sz w:val="28"/>
          <w:lang w:eastAsia="fr-FR"/>
        </w:rPr>
        <w:drawing>
          <wp:anchor distT="0" distB="0" distL="114300" distR="114300" simplePos="0" relativeHeight="251660288" behindDoc="0" locked="0" layoutInCell="1" allowOverlap="1" wp14:anchorId="28A982B4" wp14:editId="0A07F81A">
            <wp:simplePos x="0" y="0"/>
            <wp:positionH relativeFrom="column">
              <wp:posOffset>2567305</wp:posOffset>
            </wp:positionH>
            <wp:positionV relativeFrom="paragraph">
              <wp:posOffset>-356870</wp:posOffset>
            </wp:positionV>
            <wp:extent cx="779318" cy="762000"/>
            <wp:effectExtent l="0" t="0" r="190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cad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1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stantia" w:hAnsi="Constantia"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 wp14:anchorId="66086F07" wp14:editId="6C9854A7">
            <wp:simplePos x="0" y="0"/>
            <wp:positionH relativeFrom="column">
              <wp:posOffset>4015105</wp:posOffset>
            </wp:positionH>
            <wp:positionV relativeFrom="paragraph">
              <wp:posOffset>-252095</wp:posOffset>
            </wp:positionV>
            <wp:extent cx="2369524" cy="495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enghor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52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stantia" w:hAnsi="Constantia"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2AF48733" wp14:editId="01F3852D">
            <wp:simplePos x="0" y="0"/>
            <wp:positionH relativeFrom="column">
              <wp:posOffset>-318770</wp:posOffset>
            </wp:positionH>
            <wp:positionV relativeFrom="paragraph">
              <wp:posOffset>-252095</wp:posOffset>
            </wp:positionV>
            <wp:extent cx="1929471" cy="4476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59" cy="45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869" w:rsidRDefault="002E4869" w:rsidP="00180E22">
      <w:pPr>
        <w:jc w:val="center"/>
        <w:rPr>
          <w:rFonts w:ascii="Constantia" w:hAnsi="Constantia"/>
          <w:sz w:val="28"/>
        </w:rPr>
      </w:pPr>
    </w:p>
    <w:p w:rsidR="0086530B" w:rsidRDefault="0086530B" w:rsidP="00D877A5">
      <w:pPr>
        <w:jc w:val="center"/>
        <w:rPr>
          <w:rFonts w:ascii="Constantia" w:hAnsi="Constantia"/>
          <w:sz w:val="28"/>
        </w:rPr>
      </w:pPr>
    </w:p>
    <w:p w:rsidR="005E27B6" w:rsidRPr="008A287F" w:rsidRDefault="00EB4FA1" w:rsidP="00D877A5">
      <w:pPr>
        <w:jc w:val="center"/>
        <w:rPr>
          <w:rFonts w:ascii="Constantia" w:hAnsi="Constantia"/>
          <w:sz w:val="28"/>
        </w:rPr>
      </w:pPr>
      <w:r w:rsidRPr="008A287F">
        <w:rPr>
          <w:rFonts w:ascii="Constantia" w:hAnsi="Constantia"/>
          <w:sz w:val="28"/>
        </w:rPr>
        <w:t xml:space="preserve">Séminaire sur </w:t>
      </w:r>
      <w:r w:rsidR="00D85E3C" w:rsidRPr="008A287F">
        <w:rPr>
          <w:rFonts w:ascii="Constantia" w:hAnsi="Constantia"/>
          <w:sz w:val="28"/>
        </w:rPr>
        <w:t xml:space="preserve">les </w:t>
      </w:r>
      <w:r w:rsidRPr="008A287F">
        <w:rPr>
          <w:rFonts w:ascii="Constantia" w:hAnsi="Constantia"/>
          <w:sz w:val="28"/>
        </w:rPr>
        <w:t>Manuscrits islamiques, Alexandrie</w:t>
      </w:r>
    </w:p>
    <w:p w:rsidR="00EB4FA1" w:rsidRPr="00180E22" w:rsidRDefault="00EB4FA1" w:rsidP="00EB4FA1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 xml:space="preserve">Un séminaire scientifique sera organisé à l’Université Senghor </w:t>
      </w:r>
      <w:r w:rsidRPr="008C3601">
        <w:rPr>
          <w:rFonts w:ascii="Constantia" w:hAnsi="Constantia"/>
          <w:szCs w:val="22"/>
        </w:rPr>
        <w:t>à Alexandrie</w:t>
      </w:r>
      <w:r w:rsidRPr="00180E22">
        <w:rPr>
          <w:rFonts w:ascii="Constantia" w:hAnsi="Constantia"/>
          <w:szCs w:val="22"/>
        </w:rPr>
        <w:t xml:space="preserve">, dans le cadre des actions du consortium Senghor-Ecole des chartes-Ecole des bibliothécaires, archivistes, documentalistes (Université Cheikh </w:t>
      </w:r>
      <w:proofErr w:type="spellStart"/>
      <w:r w:rsidRPr="00180E22">
        <w:rPr>
          <w:rFonts w:ascii="Constantia" w:hAnsi="Constantia"/>
          <w:szCs w:val="22"/>
        </w:rPr>
        <w:t>Anta</w:t>
      </w:r>
      <w:proofErr w:type="spellEnd"/>
      <w:r w:rsidRPr="00180E22">
        <w:rPr>
          <w:rFonts w:ascii="Constantia" w:hAnsi="Constantia"/>
          <w:szCs w:val="22"/>
        </w:rPr>
        <w:t xml:space="preserve"> Diop, Dakar), les </w:t>
      </w:r>
      <w:r w:rsidRPr="008C3601">
        <w:rPr>
          <w:rFonts w:ascii="Constantia" w:hAnsi="Constantia"/>
          <w:b/>
          <w:szCs w:val="22"/>
        </w:rPr>
        <w:t>23, 24 et 25 mars 2021</w:t>
      </w:r>
      <w:r w:rsidRPr="00180E22">
        <w:rPr>
          <w:rFonts w:ascii="Constantia" w:hAnsi="Constantia"/>
          <w:szCs w:val="22"/>
        </w:rPr>
        <w:t>.</w:t>
      </w:r>
    </w:p>
    <w:p w:rsidR="001A0406" w:rsidRDefault="008C3601" w:rsidP="008C3601">
      <w:pPr>
        <w:jc w:val="both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>Cette manifestation sera</w:t>
      </w:r>
      <w:r w:rsidR="00EB4FA1" w:rsidRPr="00180E22">
        <w:rPr>
          <w:rFonts w:ascii="Constantia" w:hAnsi="Constantia"/>
          <w:szCs w:val="22"/>
        </w:rPr>
        <w:t xml:space="preserve"> programmée </w:t>
      </w:r>
      <w:r>
        <w:rPr>
          <w:rFonts w:ascii="Constantia" w:hAnsi="Constantia"/>
          <w:szCs w:val="22"/>
        </w:rPr>
        <w:t xml:space="preserve">soit </w:t>
      </w:r>
      <w:r w:rsidR="00EB4FA1" w:rsidRPr="00180E22">
        <w:rPr>
          <w:rFonts w:ascii="Constantia" w:hAnsi="Constantia"/>
          <w:szCs w:val="22"/>
        </w:rPr>
        <w:t xml:space="preserve">en présentiel, </w:t>
      </w:r>
      <w:r>
        <w:rPr>
          <w:rFonts w:ascii="Constantia" w:hAnsi="Constantia"/>
          <w:szCs w:val="22"/>
        </w:rPr>
        <w:t xml:space="preserve">soit en ligne, en fonction </w:t>
      </w:r>
      <w:r w:rsidR="00EB4FA1" w:rsidRPr="00180E22">
        <w:rPr>
          <w:rFonts w:ascii="Constantia" w:hAnsi="Constantia"/>
          <w:szCs w:val="22"/>
        </w:rPr>
        <w:t xml:space="preserve">de </w:t>
      </w:r>
      <w:r>
        <w:rPr>
          <w:rFonts w:ascii="Constantia" w:hAnsi="Constantia"/>
          <w:szCs w:val="22"/>
        </w:rPr>
        <w:t>la situation sanitaire internationale</w:t>
      </w:r>
      <w:r w:rsidR="00EB4FA1" w:rsidRPr="00180E22">
        <w:rPr>
          <w:rFonts w:ascii="Constantia" w:hAnsi="Constantia"/>
          <w:szCs w:val="22"/>
        </w:rPr>
        <w:t>.</w:t>
      </w:r>
    </w:p>
    <w:p w:rsidR="00E4687D" w:rsidRDefault="00E4687D" w:rsidP="005E27B6">
      <w:pPr>
        <w:jc w:val="both"/>
        <w:rPr>
          <w:rFonts w:ascii="Constantia" w:hAnsi="Constantia"/>
          <w:szCs w:val="22"/>
        </w:rPr>
      </w:pPr>
    </w:p>
    <w:p w:rsidR="001A0406" w:rsidRPr="005C77F6" w:rsidRDefault="001A0406" w:rsidP="005C77F6">
      <w:pPr>
        <w:pStyle w:val="Paragraphedeliste"/>
        <w:numPr>
          <w:ilvl w:val="0"/>
          <w:numId w:val="4"/>
        </w:numPr>
        <w:jc w:val="both"/>
        <w:rPr>
          <w:rFonts w:ascii="Constantia" w:hAnsi="Constantia"/>
          <w:szCs w:val="22"/>
        </w:rPr>
      </w:pPr>
      <w:r w:rsidRPr="005C77F6">
        <w:rPr>
          <w:rFonts w:ascii="Constantia" w:hAnsi="Constantia"/>
          <w:szCs w:val="22"/>
        </w:rPr>
        <w:t xml:space="preserve">Thématique : usage </w:t>
      </w:r>
      <w:r w:rsidR="00D53E20" w:rsidRPr="005C77F6">
        <w:rPr>
          <w:rFonts w:ascii="Constantia" w:hAnsi="Constantia"/>
          <w:szCs w:val="22"/>
        </w:rPr>
        <w:t xml:space="preserve">social </w:t>
      </w:r>
      <w:r w:rsidRPr="005C77F6">
        <w:rPr>
          <w:rFonts w:ascii="Constantia" w:hAnsi="Constantia"/>
          <w:szCs w:val="22"/>
        </w:rPr>
        <w:t>des manuscrits dans l’espace africain.</w:t>
      </w:r>
    </w:p>
    <w:p w:rsidR="005E27B6" w:rsidRPr="00180E22" w:rsidRDefault="005E27B6" w:rsidP="00EB4FA1">
      <w:pPr>
        <w:jc w:val="both"/>
        <w:rPr>
          <w:rFonts w:ascii="Constantia" w:hAnsi="Constantia"/>
          <w:szCs w:val="22"/>
        </w:rPr>
      </w:pPr>
    </w:p>
    <w:p w:rsidR="00D85E3C" w:rsidRPr="00180E22" w:rsidRDefault="00EB4FA1" w:rsidP="002C471D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>Le nombr</w:t>
      </w:r>
      <w:r w:rsidR="005E27B6">
        <w:rPr>
          <w:rFonts w:ascii="Constantia" w:hAnsi="Constantia"/>
          <w:szCs w:val="22"/>
        </w:rPr>
        <w:t>e élevé de manuscrits islamiques</w:t>
      </w:r>
      <w:r w:rsidRPr="00180E22">
        <w:rPr>
          <w:rFonts w:ascii="Constantia" w:hAnsi="Constantia"/>
          <w:szCs w:val="22"/>
        </w:rPr>
        <w:t xml:space="preserve">, principalement en langue arabe, </w:t>
      </w:r>
      <w:r w:rsidR="00963096">
        <w:rPr>
          <w:rFonts w:ascii="Constantia" w:hAnsi="Constantia"/>
          <w:szCs w:val="22"/>
        </w:rPr>
        <w:t>hébreu</w:t>
      </w:r>
      <w:r w:rsidRPr="00180E22">
        <w:rPr>
          <w:rFonts w:ascii="Constantia" w:hAnsi="Constantia"/>
          <w:szCs w:val="22"/>
        </w:rPr>
        <w:t xml:space="preserve">, </w:t>
      </w:r>
      <w:r w:rsidR="00C45929">
        <w:rPr>
          <w:rFonts w:ascii="Constantia" w:hAnsi="Constantia"/>
          <w:szCs w:val="22"/>
        </w:rPr>
        <w:t>‘</w:t>
      </w:r>
      <w:proofErr w:type="spellStart"/>
      <w:r w:rsidR="00963096">
        <w:rPr>
          <w:rFonts w:ascii="Constantia" w:hAnsi="Constantia"/>
          <w:szCs w:val="22"/>
        </w:rPr>
        <w:t>adjamie</w:t>
      </w:r>
      <w:proofErr w:type="spellEnd"/>
      <w:r w:rsidR="00963096">
        <w:rPr>
          <w:rFonts w:ascii="Constantia" w:hAnsi="Constantia"/>
          <w:szCs w:val="22"/>
        </w:rPr>
        <w:t xml:space="preserve">, </w:t>
      </w:r>
      <w:r w:rsidRPr="00180E22">
        <w:rPr>
          <w:rFonts w:ascii="Constantia" w:hAnsi="Constantia"/>
          <w:szCs w:val="22"/>
        </w:rPr>
        <w:t xml:space="preserve">persane et </w:t>
      </w:r>
      <w:r w:rsidR="00C45929">
        <w:rPr>
          <w:rFonts w:ascii="Constantia" w:hAnsi="Constantia"/>
          <w:szCs w:val="22"/>
        </w:rPr>
        <w:t>osmanli</w:t>
      </w:r>
      <w:r w:rsidRPr="00180E22">
        <w:rPr>
          <w:rFonts w:ascii="Constantia" w:hAnsi="Constantia"/>
          <w:szCs w:val="22"/>
        </w:rPr>
        <w:t xml:space="preserve"> et la multiplication des projets de conservation et des sujets d’études</w:t>
      </w:r>
      <w:r w:rsidR="00963096">
        <w:rPr>
          <w:rFonts w:ascii="Constantia" w:hAnsi="Constantia"/>
          <w:szCs w:val="22"/>
        </w:rPr>
        <w:t>,</w:t>
      </w:r>
      <w:r w:rsidRPr="00180E22">
        <w:rPr>
          <w:rFonts w:ascii="Constantia" w:hAnsi="Constantia"/>
          <w:szCs w:val="22"/>
        </w:rPr>
        <w:t xml:space="preserve"> constituent autant d’outils au service d’une pensée critique </w:t>
      </w:r>
      <w:r w:rsidR="00963096">
        <w:rPr>
          <w:rFonts w:ascii="Constantia" w:hAnsi="Constantia"/>
          <w:szCs w:val="22"/>
        </w:rPr>
        <w:t>de la culture islamique</w:t>
      </w:r>
      <w:r w:rsidR="008C3601">
        <w:rPr>
          <w:rFonts w:ascii="Constantia" w:hAnsi="Constantia"/>
          <w:szCs w:val="22"/>
        </w:rPr>
        <w:t xml:space="preserve">, dans ses diverses composantes </w:t>
      </w:r>
      <w:r w:rsidR="00963096">
        <w:rPr>
          <w:rFonts w:ascii="Constantia" w:hAnsi="Constantia"/>
          <w:szCs w:val="22"/>
        </w:rPr>
        <w:t>religieuses, historiques</w:t>
      </w:r>
      <w:r w:rsidR="00EC3BBB">
        <w:rPr>
          <w:rFonts w:ascii="Constantia" w:hAnsi="Constantia"/>
          <w:szCs w:val="22"/>
        </w:rPr>
        <w:t>, juridiques</w:t>
      </w:r>
      <w:r w:rsidR="00963096">
        <w:rPr>
          <w:rFonts w:ascii="Constantia" w:hAnsi="Constantia"/>
          <w:szCs w:val="22"/>
        </w:rPr>
        <w:t xml:space="preserve"> ou géographiques</w:t>
      </w:r>
      <w:r w:rsidRPr="00180E22">
        <w:rPr>
          <w:rFonts w:ascii="Constantia" w:hAnsi="Constantia"/>
          <w:szCs w:val="22"/>
        </w:rPr>
        <w:t xml:space="preserve">. </w:t>
      </w:r>
      <w:r w:rsidR="00D85E3C" w:rsidRPr="00D85E3C">
        <w:rPr>
          <w:rFonts w:ascii="Verdana" w:eastAsia="Times New Roman" w:hAnsi="Verdana" w:cs="Times New Roman"/>
          <w:color w:val="000000"/>
          <w:szCs w:val="22"/>
          <w:lang w:eastAsia="fr-FR"/>
        </w:rPr>
        <w:br/>
      </w:r>
      <w:r w:rsidR="00D85E3C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>C</w:t>
      </w:r>
      <w:r w:rsidR="00D85E3C" w:rsidRPr="00D85E3C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es journées d’études </w:t>
      </w:r>
      <w:r w:rsidR="00D85E3C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partent d’un constat, celui de la </w:t>
      </w:r>
      <w:r w:rsidR="00963096">
        <w:rPr>
          <w:rFonts w:ascii="Constantia" w:eastAsia="Times New Roman" w:hAnsi="Constantia" w:cs="Times New Roman"/>
          <w:color w:val="000000"/>
          <w:szCs w:val="22"/>
          <w:lang w:eastAsia="fr-FR"/>
        </w:rPr>
        <w:t>réalité</w:t>
      </w:r>
      <w:r w:rsidR="00D85E3C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 des </w:t>
      </w:r>
      <w:r w:rsidR="00963096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différents </w:t>
      </w:r>
      <w:r w:rsidR="00DA5C86">
        <w:rPr>
          <w:rFonts w:ascii="Constantia" w:eastAsia="Times New Roman" w:hAnsi="Constantia" w:cs="Times New Roman"/>
          <w:color w:val="000000"/>
          <w:szCs w:val="22"/>
          <w:lang w:eastAsia="fr-FR"/>
        </w:rPr>
        <w:t>domaine</w:t>
      </w:r>
      <w:r w:rsidR="00963096">
        <w:rPr>
          <w:rFonts w:ascii="Constantia" w:eastAsia="Times New Roman" w:hAnsi="Constantia" w:cs="Times New Roman"/>
          <w:color w:val="000000"/>
          <w:szCs w:val="22"/>
          <w:lang w:eastAsia="fr-FR"/>
        </w:rPr>
        <w:t>s</w:t>
      </w:r>
      <w:r w:rsidR="00D85E3C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 de recherche des manuscrits </w:t>
      </w:r>
      <w:r w:rsidR="00963096">
        <w:rPr>
          <w:rFonts w:ascii="Constantia" w:eastAsia="Times New Roman" w:hAnsi="Constantia" w:cs="Times New Roman"/>
          <w:color w:val="000000"/>
          <w:szCs w:val="22"/>
          <w:lang w:eastAsia="fr-FR"/>
        </w:rPr>
        <w:t>appartenant au domaine culturel islamique</w:t>
      </w:r>
      <w:r w:rsidR="00D85E3C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. Les études sur </w:t>
      </w:r>
      <w:r w:rsidR="00D85E3C" w:rsidRPr="00D85E3C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les manuscrits </w:t>
      </w:r>
      <w:r w:rsidR="00DA5C86">
        <w:rPr>
          <w:rFonts w:ascii="Constantia" w:eastAsia="Times New Roman" w:hAnsi="Constantia" w:cs="Times New Roman"/>
          <w:color w:val="000000"/>
          <w:szCs w:val="22"/>
          <w:lang w:eastAsia="fr-FR"/>
        </w:rPr>
        <w:t>musulman</w:t>
      </w:r>
      <w:r w:rsidR="00D85E3C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s, juifs et </w:t>
      </w:r>
      <w:r w:rsidR="00D85E3C" w:rsidRPr="00D85E3C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chrétiens </w:t>
      </w:r>
      <w:r w:rsidR="00D85E3C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sont trop souvent articulées </w:t>
      </w:r>
      <w:r w:rsidR="00D85E3C" w:rsidRPr="00D85E3C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de manière </w:t>
      </w:r>
      <w:r w:rsidR="00D85E3C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>cloisonnées</w:t>
      </w:r>
      <w:r w:rsidR="00DA5C86">
        <w:rPr>
          <w:rFonts w:ascii="Constantia" w:eastAsia="Times New Roman" w:hAnsi="Constantia" w:cs="Times New Roman"/>
          <w:color w:val="000000"/>
          <w:szCs w:val="22"/>
          <w:lang w:eastAsia="fr-FR"/>
        </w:rPr>
        <w:t>, parfois en raison d’un</w:t>
      </w:r>
      <w:r w:rsidR="00D85E3C" w:rsidRPr="00D85E3C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 présupposé</w:t>
      </w:r>
      <w:r w:rsidR="00180E22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>, celui de l’évolution parallèle de ces trois cultures, alors qu</w:t>
      </w:r>
      <w:r w:rsid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>e leurs historiographies</w:t>
      </w:r>
      <w:r w:rsidR="00180E22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 </w:t>
      </w:r>
      <w:r w:rsid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>respectives</w:t>
      </w:r>
      <w:r w:rsidR="00963096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 restèrent</w:t>
      </w:r>
      <w:r w:rsidR="00180E22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 quotidiennement en interaction</w:t>
      </w:r>
      <w:r w:rsidR="00DA5C86">
        <w:rPr>
          <w:rFonts w:ascii="Constantia" w:eastAsia="Times New Roman" w:hAnsi="Constantia" w:cs="Times New Roman"/>
          <w:color w:val="000000"/>
          <w:szCs w:val="22"/>
          <w:lang w:eastAsia="fr-FR"/>
        </w:rPr>
        <w:t>, en accord ou en opposition</w:t>
      </w:r>
      <w:r w:rsidR="00180E22" w:rsidRPr="00180E22">
        <w:rPr>
          <w:rFonts w:ascii="Constantia" w:eastAsia="Times New Roman" w:hAnsi="Constantia" w:cs="Times New Roman"/>
          <w:color w:val="000000"/>
          <w:szCs w:val="22"/>
          <w:lang w:eastAsia="fr-FR"/>
        </w:rPr>
        <w:t>.</w:t>
      </w:r>
      <w:r w:rsidR="00ED58E2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 Ainsi, l</w:t>
      </w:r>
      <w:r w:rsidR="000F7AA2">
        <w:rPr>
          <w:rFonts w:ascii="Constantia" w:eastAsia="Times New Roman" w:hAnsi="Constantia" w:cs="Times New Roman"/>
          <w:color w:val="000000"/>
          <w:szCs w:val="22"/>
          <w:lang w:eastAsia="fr-FR"/>
        </w:rPr>
        <w:t>e manuscrit constitue un espace d’expression privilég</w:t>
      </w:r>
      <w:r w:rsidR="001A0406">
        <w:rPr>
          <w:rFonts w:ascii="Constantia" w:eastAsia="Times New Roman" w:hAnsi="Constantia" w:cs="Times New Roman"/>
          <w:color w:val="000000"/>
          <w:szCs w:val="22"/>
          <w:lang w:eastAsia="fr-FR"/>
        </w:rPr>
        <w:t xml:space="preserve">ié sur la société de son temps, il constitue un conservatoire des pratiques sociales de son époque. </w:t>
      </w:r>
    </w:p>
    <w:p w:rsidR="001A0406" w:rsidRDefault="00EB4FA1" w:rsidP="001A0406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 xml:space="preserve">Afin de pouvoir contribuer à cette réflexion, nous avons choisi de réunir des spécialistes des manuscrits africains et moyen-orientaux </w:t>
      </w:r>
      <w:r w:rsidR="001A0406">
        <w:rPr>
          <w:rFonts w:ascii="Constantia" w:hAnsi="Constantia"/>
          <w:szCs w:val="22"/>
        </w:rPr>
        <w:t xml:space="preserve">autour d’un cadre de réflexion, celui de la circulation des manuscrits, documents ou livres, dans l’espace africain. Cette codicologie sociale s’articule autour des </w:t>
      </w:r>
      <w:r w:rsidRPr="00180E22">
        <w:rPr>
          <w:rFonts w:ascii="Constantia" w:hAnsi="Constantia"/>
          <w:szCs w:val="22"/>
        </w:rPr>
        <w:t xml:space="preserve">déclinaisons multiples des témoins africains, </w:t>
      </w:r>
      <w:r w:rsidR="001A0406">
        <w:rPr>
          <w:rFonts w:ascii="Constantia" w:hAnsi="Constantia"/>
          <w:szCs w:val="22"/>
        </w:rPr>
        <w:t xml:space="preserve">des </w:t>
      </w:r>
      <w:r w:rsidRPr="00180E22">
        <w:rPr>
          <w:rFonts w:ascii="Constantia" w:hAnsi="Constantia"/>
          <w:szCs w:val="22"/>
        </w:rPr>
        <w:t xml:space="preserve">traits communs des </w:t>
      </w:r>
      <w:r w:rsidR="00DA5C86">
        <w:rPr>
          <w:rFonts w:ascii="Constantia" w:hAnsi="Constantia"/>
          <w:szCs w:val="22"/>
        </w:rPr>
        <w:t xml:space="preserve">différentes </w:t>
      </w:r>
      <w:r w:rsidRPr="00180E22">
        <w:rPr>
          <w:rFonts w:ascii="Constantia" w:hAnsi="Constantia"/>
          <w:szCs w:val="22"/>
        </w:rPr>
        <w:t xml:space="preserve">traditions et des </w:t>
      </w:r>
      <w:r w:rsidR="00DA5C86">
        <w:rPr>
          <w:rFonts w:ascii="Constantia" w:hAnsi="Constantia"/>
          <w:szCs w:val="22"/>
        </w:rPr>
        <w:t xml:space="preserve">diverses </w:t>
      </w:r>
      <w:r w:rsidRPr="00180E22">
        <w:rPr>
          <w:rFonts w:ascii="Constantia" w:hAnsi="Constantia"/>
          <w:szCs w:val="22"/>
        </w:rPr>
        <w:t>formes matéri</w:t>
      </w:r>
      <w:r w:rsidR="00AB43B9">
        <w:rPr>
          <w:rFonts w:ascii="Constantia" w:hAnsi="Constantia"/>
          <w:szCs w:val="22"/>
        </w:rPr>
        <w:t>elles</w:t>
      </w:r>
      <w:r w:rsidR="009F5967">
        <w:rPr>
          <w:rFonts w:ascii="Constantia" w:hAnsi="Constantia"/>
          <w:szCs w:val="22"/>
        </w:rPr>
        <w:t xml:space="preserve"> de réalisations. </w:t>
      </w:r>
    </w:p>
    <w:p w:rsidR="00D85E3C" w:rsidRPr="00180E22" w:rsidRDefault="00EB4FA1" w:rsidP="001A0406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 xml:space="preserve">Une attention particulière est portée aux modalités de conservation, de transmission, </w:t>
      </w:r>
      <w:r w:rsidR="001A0406">
        <w:rPr>
          <w:rFonts w:ascii="Constantia" w:hAnsi="Constantia"/>
          <w:szCs w:val="22"/>
        </w:rPr>
        <w:t xml:space="preserve">des </w:t>
      </w:r>
      <w:r w:rsidRPr="00180E22">
        <w:rPr>
          <w:rFonts w:ascii="Constantia" w:hAnsi="Constantia"/>
          <w:szCs w:val="22"/>
        </w:rPr>
        <w:t>usages et des processus de patrimonialisation à</w:t>
      </w:r>
      <w:r w:rsidR="000F7AA2">
        <w:rPr>
          <w:rFonts w:ascii="Constantia" w:hAnsi="Constantia"/>
          <w:szCs w:val="22"/>
        </w:rPr>
        <w:t xml:space="preserve"> l’œuvre, à différents niveaux et aux critères de comparaison.</w:t>
      </w:r>
      <w:r w:rsidR="001A0406">
        <w:rPr>
          <w:rFonts w:ascii="Constantia" w:hAnsi="Constantia"/>
          <w:szCs w:val="22"/>
        </w:rPr>
        <w:t xml:space="preserve"> Ainsi seront retenus</w:t>
      </w:r>
      <w:r w:rsidR="005E27B6">
        <w:rPr>
          <w:rFonts w:ascii="Constantia" w:hAnsi="Constantia"/>
          <w:szCs w:val="22"/>
        </w:rPr>
        <w:t>,</w:t>
      </w:r>
      <w:r w:rsidR="001A0406">
        <w:rPr>
          <w:rFonts w:ascii="Constantia" w:hAnsi="Constantia"/>
          <w:szCs w:val="22"/>
        </w:rPr>
        <w:t xml:space="preserve"> en priorité</w:t>
      </w:r>
      <w:r w:rsidR="005E27B6">
        <w:rPr>
          <w:rFonts w:ascii="Constantia" w:hAnsi="Constantia"/>
          <w:szCs w:val="22"/>
        </w:rPr>
        <w:t>,</w:t>
      </w:r>
      <w:r w:rsidR="001A0406">
        <w:rPr>
          <w:rFonts w:ascii="Constantia" w:hAnsi="Constantia"/>
          <w:szCs w:val="22"/>
        </w:rPr>
        <w:t xml:space="preserve"> les communications qui développeront </w:t>
      </w:r>
      <w:r w:rsidR="005E27B6">
        <w:rPr>
          <w:rFonts w:ascii="Constantia" w:hAnsi="Constantia"/>
          <w:szCs w:val="22"/>
        </w:rPr>
        <w:t xml:space="preserve">essentiellement </w:t>
      </w:r>
      <w:r w:rsidR="001A0406">
        <w:rPr>
          <w:rFonts w:ascii="Constantia" w:hAnsi="Constantia"/>
          <w:szCs w:val="22"/>
        </w:rPr>
        <w:t>les aspects sociaux.</w:t>
      </w:r>
      <w:r w:rsidR="005E27B6">
        <w:rPr>
          <w:rFonts w:ascii="Constantia" w:hAnsi="Constantia"/>
          <w:szCs w:val="22"/>
        </w:rPr>
        <w:t xml:space="preserve"> </w:t>
      </w:r>
    </w:p>
    <w:p w:rsidR="00EB4FA1" w:rsidRPr="00180E22" w:rsidRDefault="00EB4FA1" w:rsidP="00ED58E2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 xml:space="preserve">L’objectif est de comparer les réflexions d’une communauté transnationale sur les manuscrits islamiques, autour de trois axes : </w:t>
      </w:r>
    </w:p>
    <w:p w:rsidR="00EB4FA1" w:rsidRPr="00180E22" w:rsidRDefault="00EB4FA1" w:rsidP="00EB4FA1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>- Le manuscrit comme conservatoire de pratiques</w:t>
      </w:r>
      <w:r w:rsidR="005E27B6">
        <w:rPr>
          <w:rFonts w:ascii="Constantia" w:hAnsi="Constantia"/>
          <w:szCs w:val="22"/>
        </w:rPr>
        <w:t xml:space="preserve"> sociales.</w:t>
      </w:r>
    </w:p>
    <w:p w:rsidR="00EB4FA1" w:rsidRPr="00180E22" w:rsidRDefault="00EB4FA1" w:rsidP="00EB4FA1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>- Evolution des usages du manuscrit</w:t>
      </w:r>
      <w:r w:rsidR="005E27B6">
        <w:rPr>
          <w:rFonts w:ascii="Constantia" w:hAnsi="Constantia"/>
          <w:szCs w:val="22"/>
        </w:rPr>
        <w:t>.</w:t>
      </w:r>
    </w:p>
    <w:p w:rsidR="00EB4FA1" w:rsidRDefault="00EB4FA1" w:rsidP="005E27B6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 xml:space="preserve">- Matérialité et techniques, de la réalisation à la </w:t>
      </w:r>
      <w:r w:rsidR="005E27B6">
        <w:rPr>
          <w:rFonts w:ascii="Constantia" w:hAnsi="Constantia"/>
          <w:szCs w:val="22"/>
        </w:rPr>
        <w:t>codicologie sociale.</w:t>
      </w:r>
    </w:p>
    <w:p w:rsidR="005E27B6" w:rsidRDefault="005E27B6" w:rsidP="00EB4FA1">
      <w:pPr>
        <w:jc w:val="both"/>
        <w:rPr>
          <w:rFonts w:ascii="Constantia" w:hAnsi="Constantia"/>
          <w:szCs w:val="22"/>
        </w:rPr>
      </w:pPr>
    </w:p>
    <w:p w:rsidR="005E27B6" w:rsidRDefault="005E27B6" w:rsidP="00E7101F">
      <w:pPr>
        <w:jc w:val="both"/>
        <w:rPr>
          <w:rFonts w:ascii="Constantia" w:hAnsi="Constantia"/>
          <w:szCs w:val="22"/>
        </w:rPr>
      </w:pPr>
    </w:p>
    <w:p w:rsidR="008A0A11" w:rsidRDefault="008A0A11" w:rsidP="00BD3951">
      <w:pPr>
        <w:jc w:val="both"/>
        <w:rPr>
          <w:rFonts w:ascii="Constantia" w:hAnsi="Constantia"/>
          <w:szCs w:val="22"/>
        </w:rPr>
      </w:pPr>
    </w:p>
    <w:p w:rsidR="00EB4FA1" w:rsidRDefault="00EB4FA1" w:rsidP="00BD3951">
      <w:pPr>
        <w:jc w:val="both"/>
        <w:rPr>
          <w:rFonts w:ascii="Constantia" w:hAnsi="Constantia"/>
          <w:szCs w:val="22"/>
        </w:rPr>
      </w:pPr>
      <w:bookmarkStart w:id="0" w:name="_GoBack"/>
      <w:bookmarkEnd w:id="0"/>
      <w:r w:rsidRPr="00180E22">
        <w:rPr>
          <w:rFonts w:ascii="Constantia" w:hAnsi="Constantia"/>
          <w:szCs w:val="22"/>
        </w:rPr>
        <w:t xml:space="preserve">Le format de la rencontre suivra un calendrier de trois sessions d’une demi-journée chacune, </w:t>
      </w:r>
      <w:r w:rsidR="00D53E20">
        <w:rPr>
          <w:rFonts w:ascii="Constantia" w:hAnsi="Constantia"/>
          <w:szCs w:val="22"/>
        </w:rPr>
        <w:t>dans un scénario en présentiel</w:t>
      </w:r>
      <w:r w:rsidR="00BD3951">
        <w:rPr>
          <w:rFonts w:ascii="Constantia" w:hAnsi="Constantia"/>
          <w:szCs w:val="22"/>
        </w:rPr>
        <w:t xml:space="preserve">, à une série de visio-conférences suivies de questions dans un scénario en ligne. L’ensemble des communications sera ensuite disponible sur </w:t>
      </w:r>
      <w:r w:rsidR="00BD3951" w:rsidRPr="00BD3951">
        <w:rPr>
          <w:rFonts w:ascii="Constantia" w:hAnsi="Constantia"/>
          <w:i/>
          <w:iCs/>
          <w:szCs w:val="22"/>
        </w:rPr>
        <w:t>YouTube</w:t>
      </w:r>
      <w:r w:rsidR="00BD3951">
        <w:rPr>
          <w:rFonts w:ascii="Constantia" w:hAnsi="Constantia"/>
          <w:szCs w:val="22"/>
        </w:rPr>
        <w:t>.</w:t>
      </w:r>
    </w:p>
    <w:p w:rsidR="00BD3951" w:rsidRDefault="00BD3951" w:rsidP="00E7101F">
      <w:pPr>
        <w:jc w:val="both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>Chaque communication aura une durée de 15-20 mn, suivie de 10 mn d’échange avec les auditeurs.</w:t>
      </w:r>
      <w:r w:rsidR="002F7BAD">
        <w:rPr>
          <w:rFonts w:ascii="Constantia" w:hAnsi="Constantia"/>
          <w:szCs w:val="22"/>
        </w:rPr>
        <w:t xml:space="preserve"> </w:t>
      </w:r>
    </w:p>
    <w:p w:rsidR="00BD3951" w:rsidRPr="002C471D" w:rsidRDefault="00D53E20" w:rsidP="002C471D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Cs w:val="22"/>
        </w:rPr>
      </w:pPr>
      <w:r w:rsidRPr="002C471D">
        <w:rPr>
          <w:rFonts w:asciiTheme="majorBidi" w:hAnsiTheme="majorBidi" w:cstheme="majorBidi"/>
          <w:szCs w:val="22"/>
        </w:rPr>
        <w:t>Agenda :</w:t>
      </w:r>
    </w:p>
    <w:p w:rsidR="00BD3951" w:rsidRDefault="00BD3951" w:rsidP="00BD3951">
      <w:pPr>
        <w:pStyle w:val="Paragraphedeliste"/>
        <w:jc w:val="both"/>
        <w:rPr>
          <w:rFonts w:asciiTheme="majorBidi" w:hAnsiTheme="majorBidi" w:cstheme="majorBidi"/>
          <w:szCs w:val="22"/>
        </w:rPr>
      </w:pPr>
    </w:p>
    <w:p w:rsidR="00D53E20" w:rsidRDefault="00D53E20" w:rsidP="008C360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Cs w:val="22"/>
        </w:rPr>
      </w:pPr>
      <w:r w:rsidRPr="00BD3951">
        <w:rPr>
          <w:rFonts w:asciiTheme="majorBidi" w:hAnsiTheme="majorBidi" w:cstheme="majorBidi"/>
          <w:szCs w:val="22"/>
        </w:rPr>
        <w:t xml:space="preserve">Date limite de dépôt </w:t>
      </w:r>
      <w:r w:rsidR="008C3601">
        <w:rPr>
          <w:rFonts w:asciiTheme="majorBidi" w:hAnsiTheme="majorBidi" w:cstheme="majorBidi"/>
          <w:szCs w:val="22"/>
        </w:rPr>
        <w:t>des propositions de</w:t>
      </w:r>
      <w:r w:rsidRPr="00BD3951">
        <w:rPr>
          <w:rFonts w:asciiTheme="majorBidi" w:hAnsiTheme="majorBidi" w:cstheme="majorBidi"/>
          <w:szCs w:val="22"/>
        </w:rPr>
        <w:t xml:space="preserve"> communications : 1</w:t>
      </w:r>
      <w:r w:rsidRPr="00BD3951">
        <w:rPr>
          <w:rFonts w:asciiTheme="majorBidi" w:hAnsiTheme="majorBidi" w:cstheme="majorBidi"/>
          <w:szCs w:val="22"/>
          <w:vertAlign w:val="superscript"/>
        </w:rPr>
        <w:t>er</w:t>
      </w:r>
      <w:r w:rsidRPr="00BD3951">
        <w:rPr>
          <w:rFonts w:asciiTheme="majorBidi" w:hAnsiTheme="majorBidi" w:cstheme="majorBidi"/>
          <w:szCs w:val="22"/>
        </w:rPr>
        <w:t xml:space="preserve"> janvier </w:t>
      </w:r>
      <w:r w:rsidR="005C77F6" w:rsidRPr="00BD3951">
        <w:rPr>
          <w:rFonts w:asciiTheme="majorBidi" w:hAnsiTheme="majorBidi" w:cstheme="majorBidi"/>
          <w:szCs w:val="22"/>
        </w:rPr>
        <w:t>2021</w:t>
      </w:r>
      <w:r w:rsidR="008C3601">
        <w:rPr>
          <w:rFonts w:asciiTheme="majorBidi" w:hAnsiTheme="majorBidi" w:cstheme="majorBidi"/>
          <w:szCs w:val="22"/>
        </w:rPr>
        <w:t>.</w:t>
      </w:r>
    </w:p>
    <w:p w:rsidR="00BD3951" w:rsidRPr="00BD3951" w:rsidRDefault="00BD3951" w:rsidP="002C471D">
      <w:pPr>
        <w:pStyle w:val="Paragraphedeliste"/>
        <w:rPr>
          <w:rFonts w:asciiTheme="majorBidi" w:hAnsiTheme="majorBidi" w:cstheme="majorBidi"/>
          <w:szCs w:val="22"/>
        </w:rPr>
      </w:pPr>
    </w:p>
    <w:p w:rsidR="005C77F6" w:rsidRPr="005C77F6" w:rsidRDefault="005C77F6" w:rsidP="002C471D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C77F6">
        <w:rPr>
          <w:rFonts w:asciiTheme="majorBidi" w:hAnsiTheme="majorBidi" w:cstheme="majorBidi"/>
          <w:sz w:val="24"/>
          <w:szCs w:val="24"/>
        </w:rPr>
        <w:t xml:space="preserve">Phase d’évaluation des </w:t>
      </w:r>
      <w:r w:rsidR="00BD3951">
        <w:rPr>
          <w:rFonts w:asciiTheme="majorBidi" w:hAnsiTheme="majorBidi" w:cstheme="majorBidi"/>
          <w:sz w:val="24"/>
          <w:szCs w:val="24"/>
        </w:rPr>
        <w:t xml:space="preserve">communications </w:t>
      </w:r>
      <w:r w:rsidRPr="005C77F6">
        <w:rPr>
          <w:rFonts w:asciiTheme="majorBidi" w:hAnsiTheme="majorBidi" w:cstheme="majorBidi"/>
          <w:sz w:val="24"/>
          <w:szCs w:val="24"/>
        </w:rPr>
        <w:t>: 2-31 janvier 2021.</w:t>
      </w:r>
    </w:p>
    <w:p w:rsidR="00D53E20" w:rsidRPr="005C77F6" w:rsidRDefault="00D53E20" w:rsidP="002C471D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Cs w:val="22"/>
        </w:rPr>
      </w:pPr>
      <w:r w:rsidRPr="005C77F6">
        <w:rPr>
          <w:rFonts w:asciiTheme="majorBidi" w:hAnsiTheme="majorBidi" w:cstheme="majorBidi"/>
          <w:szCs w:val="22"/>
        </w:rPr>
        <w:t>Date de retour du Comité scientifique : 1</w:t>
      </w:r>
      <w:r w:rsidRPr="005C77F6">
        <w:rPr>
          <w:rFonts w:asciiTheme="majorBidi" w:hAnsiTheme="majorBidi" w:cstheme="majorBidi"/>
          <w:szCs w:val="22"/>
          <w:vertAlign w:val="superscript"/>
        </w:rPr>
        <w:t>er</w:t>
      </w:r>
      <w:r w:rsidRPr="005C77F6">
        <w:rPr>
          <w:rFonts w:asciiTheme="majorBidi" w:hAnsiTheme="majorBidi" w:cstheme="majorBidi"/>
          <w:szCs w:val="22"/>
        </w:rPr>
        <w:t xml:space="preserve"> février 2021.</w:t>
      </w:r>
    </w:p>
    <w:p w:rsidR="005C77F6" w:rsidRPr="005C77F6" w:rsidRDefault="005C77F6" w:rsidP="002C471D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Cs w:val="22"/>
        </w:rPr>
      </w:pPr>
      <w:r w:rsidRPr="005C77F6">
        <w:rPr>
          <w:rFonts w:asciiTheme="majorBidi" w:hAnsiTheme="majorBidi" w:cstheme="majorBidi"/>
          <w:szCs w:val="22"/>
        </w:rPr>
        <w:t>Définition du programme : 2-10 février 2021.</w:t>
      </w:r>
    </w:p>
    <w:p w:rsidR="002F7BAD" w:rsidRPr="002F7BAD" w:rsidRDefault="005C77F6" w:rsidP="002F7BAD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  <w:szCs w:val="22"/>
        </w:rPr>
      </w:pPr>
      <w:r w:rsidRPr="005C77F6">
        <w:rPr>
          <w:rFonts w:asciiTheme="majorBidi" w:hAnsiTheme="majorBidi" w:cstheme="majorBidi"/>
          <w:szCs w:val="22"/>
        </w:rPr>
        <w:t>Publication de l’agenda des communications : 11 février 2021.</w:t>
      </w:r>
    </w:p>
    <w:p w:rsidR="002F7BAD" w:rsidRPr="002F7BAD" w:rsidRDefault="002F7BAD" w:rsidP="002F7BAD">
      <w:pPr>
        <w:pStyle w:val="Paragraphedeliste"/>
        <w:numPr>
          <w:ilvl w:val="0"/>
          <w:numId w:val="4"/>
        </w:numPr>
        <w:jc w:val="both"/>
        <w:rPr>
          <w:rFonts w:ascii="Constantia" w:hAnsi="Constantia"/>
          <w:szCs w:val="22"/>
        </w:rPr>
      </w:pPr>
      <w:r w:rsidRPr="002F7BAD">
        <w:rPr>
          <w:rFonts w:ascii="Constantia" w:hAnsi="Constantia"/>
          <w:szCs w:val="22"/>
        </w:rPr>
        <w:t>Adresses d’envoie des pro</w:t>
      </w:r>
      <w:r>
        <w:rPr>
          <w:rFonts w:ascii="Constantia" w:hAnsi="Constantia"/>
          <w:szCs w:val="22"/>
        </w:rPr>
        <w:t>positions</w:t>
      </w:r>
      <w:r w:rsidRPr="002F7BAD">
        <w:rPr>
          <w:rFonts w:ascii="Constantia" w:hAnsi="Constantia"/>
          <w:szCs w:val="22"/>
        </w:rPr>
        <w:t xml:space="preserve"> de communication</w:t>
      </w:r>
      <w:r>
        <w:rPr>
          <w:rFonts w:ascii="Constantia" w:hAnsi="Constantia"/>
          <w:szCs w:val="22"/>
        </w:rPr>
        <w:t>s</w:t>
      </w:r>
      <w:r w:rsidRPr="002F7BAD">
        <w:rPr>
          <w:rFonts w:ascii="Constantia" w:hAnsi="Constantia"/>
          <w:szCs w:val="22"/>
        </w:rPr>
        <w:t xml:space="preserve"> : </w:t>
      </w:r>
    </w:p>
    <w:p w:rsidR="002F7BAD" w:rsidRDefault="00E47517" w:rsidP="002F7BAD">
      <w:pPr>
        <w:jc w:val="both"/>
        <w:rPr>
          <w:rFonts w:ascii="Constantia" w:hAnsi="Constantia"/>
          <w:szCs w:val="22"/>
        </w:rPr>
      </w:pPr>
      <w:hyperlink r:id="rId10" w:tgtFrame="_blank" w:history="1">
        <w:r w:rsidR="002F7BAD" w:rsidRPr="002F7BAD">
          <w:rPr>
            <w:rStyle w:val="Lienhypertexte"/>
            <w:rFonts w:ascii="Constantia" w:hAnsi="Constantia"/>
            <w:szCs w:val="22"/>
          </w:rPr>
          <w:t>rowan.hatem@usenghor.org</w:t>
        </w:r>
      </w:hyperlink>
      <w:r w:rsidR="002F7BAD">
        <w:rPr>
          <w:rFonts w:ascii="Constantia" w:hAnsi="Constantia"/>
          <w:szCs w:val="22"/>
        </w:rPr>
        <w:t xml:space="preserve"> </w:t>
      </w:r>
    </w:p>
    <w:p w:rsidR="002F7BAD" w:rsidRPr="002F7BAD" w:rsidRDefault="00E47517" w:rsidP="0086530B">
      <w:pPr>
        <w:jc w:val="both"/>
        <w:rPr>
          <w:rFonts w:ascii="Constantia" w:hAnsi="Constantia"/>
          <w:szCs w:val="22"/>
        </w:rPr>
      </w:pPr>
      <w:hyperlink r:id="rId11" w:tgtFrame="_blank" w:history="1">
        <w:r w:rsidR="002F7BAD" w:rsidRPr="002F7BAD">
          <w:rPr>
            <w:rStyle w:val="Lienhypertexte"/>
            <w:rFonts w:ascii="Constantia" w:hAnsi="Constantia"/>
            <w:szCs w:val="22"/>
          </w:rPr>
          <w:t>culture@usenghor.org</w:t>
        </w:r>
      </w:hyperlink>
    </w:p>
    <w:p w:rsidR="00EB4FA1" w:rsidRPr="005E27B6" w:rsidRDefault="00EB4FA1" w:rsidP="005E27B6">
      <w:pPr>
        <w:pStyle w:val="Paragraphedeliste"/>
        <w:numPr>
          <w:ilvl w:val="0"/>
          <w:numId w:val="2"/>
        </w:numPr>
        <w:tabs>
          <w:tab w:val="left" w:pos="2760"/>
        </w:tabs>
        <w:jc w:val="both"/>
        <w:rPr>
          <w:rFonts w:ascii="Constantia" w:hAnsi="Constantia"/>
          <w:color w:val="FF0000"/>
          <w:szCs w:val="22"/>
        </w:rPr>
      </w:pPr>
      <w:r w:rsidRPr="005E27B6">
        <w:rPr>
          <w:rFonts w:ascii="Constantia" w:hAnsi="Constantia"/>
          <w:color w:val="FF0000"/>
          <w:szCs w:val="22"/>
        </w:rPr>
        <w:t>Comité scientifique :</w:t>
      </w:r>
      <w:r w:rsidR="005A6090" w:rsidRPr="005E27B6">
        <w:rPr>
          <w:rFonts w:ascii="Constantia" w:hAnsi="Constantia"/>
          <w:color w:val="FF0000"/>
          <w:szCs w:val="22"/>
        </w:rPr>
        <w:tab/>
      </w:r>
    </w:p>
    <w:p w:rsidR="00EB4FA1" w:rsidRPr="00180E22" w:rsidRDefault="00EB4FA1" w:rsidP="00EB4FA1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>- Anne Regourd, CNRS</w:t>
      </w:r>
      <w:r w:rsidR="008C3601">
        <w:rPr>
          <w:rFonts w:ascii="Constantia" w:hAnsi="Constantia"/>
          <w:szCs w:val="22"/>
        </w:rPr>
        <w:t> ;</w:t>
      </w:r>
      <w:r w:rsidRPr="00180E22">
        <w:rPr>
          <w:rFonts w:ascii="Constantia" w:hAnsi="Constantia"/>
          <w:szCs w:val="22"/>
        </w:rPr>
        <w:t xml:space="preserve"> </w:t>
      </w:r>
    </w:p>
    <w:p w:rsidR="00EB4FA1" w:rsidRPr="00180E22" w:rsidRDefault="00EB4FA1" w:rsidP="00EB4FA1">
      <w:pPr>
        <w:jc w:val="both"/>
        <w:rPr>
          <w:rFonts w:ascii="Constantia" w:hAnsi="Constantia"/>
          <w:szCs w:val="22"/>
        </w:rPr>
      </w:pPr>
      <w:r w:rsidRPr="00180E22">
        <w:rPr>
          <w:rFonts w:ascii="Constantia" w:hAnsi="Constantia"/>
          <w:szCs w:val="22"/>
        </w:rPr>
        <w:t xml:space="preserve">- Jean-François </w:t>
      </w:r>
      <w:proofErr w:type="spellStart"/>
      <w:r w:rsidRPr="00180E22">
        <w:rPr>
          <w:rFonts w:ascii="Constantia" w:hAnsi="Constantia"/>
          <w:szCs w:val="22"/>
        </w:rPr>
        <w:t>Faü</w:t>
      </w:r>
      <w:proofErr w:type="spellEnd"/>
      <w:r w:rsidRPr="00180E22">
        <w:rPr>
          <w:rFonts w:ascii="Constantia" w:hAnsi="Constantia"/>
          <w:szCs w:val="22"/>
        </w:rPr>
        <w:t xml:space="preserve">, </w:t>
      </w:r>
      <w:proofErr w:type="spellStart"/>
      <w:r w:rsidRPr="00180E22">
        <w:rPr>
          <w:rFonts w:ascii="Constantia" w:hAnsi="Constantia"/>
          <w:szCs w:val="22"/>
        </w:rPr>
        <w:t>Univ</w:t>
      </w:r>
      <w:proofErr w:type="spellEnd"/>
      <w:r w:rsidRPr="00180E22">
        <w:rPr>
          <w:rFonts w:ascii="Constantia" w:hAnsi="Constantia"/>
          <w:szCs w:val="22"/>
        </w:rPr>
        <w:t>. Senghor</w:t>
      </w:r>
      <w:r w:rsidR="005E27B6">
        <w:rPr>
          <w:rFonts w:ascii="Constantia" w:hAnsi="Constantia"/>
          <w:szCs w:val="22"/>
        </w:rPr>
        <w:t xml:space="preserve"> (président)</w:t>
      </w:r>
      <w:r w:rsidR="008C3601">
        <w:rPr>
          <w:rFonts w:ascii="Constantia" w:hAnsi="Constantia"/>
          <w:szCs w:val="22"/>
        </w:rPr>
        <w:t> ;</w:t>
      </w:r>
    </w:p>
    <w:p w:rsidR="00EB4FA1" w:rsidRPr="002E4869" w:rsidRDefault="00EB4FA1" w:rsidP="00EB4FA1">
      <w:pPr>
        <w:jc w:val="both"/>
        <w:rPr>
          <w:rFonts w:ascii="Constantia" w:hAnsi="Constantia"/>
          <w:szCs w:val="22"/>
          <w:lang w:val="en-US"/>
        </w:rPr>
      </w:pPr>
      <w:r w:rsidRPr="002E4869">
        <w:rPr>
          <w:rFonts w:ascii="Constantia" w:hAnsi="Constantia"/>
          <w:szCs w:val="22"/>
          <w:lang w:val="en-US"/>
        </w:rPr>
        <w:t xml:space="preserve">- </w:t>
      </w:r>
      <w:proofErr w:type="spellStart"/>
      <w:r w:rsidRPr="002E4869">
        <w:rPr>
          <w:rFonts w:ascii="Constantia" w:hAnsi="Constantia"/>
          <w:szCs w:val="22"/>
          <w:lang w:val="en-US"/>
        </w:rPr>
        <w:t>Mor</w:t>
      </w:r>
      <w:proofErr w:type="spellEnd"/>
      <w:r w:rsidRPr="002E4869">
        <w:rPr>
          <w:rFonts w:ascii="Constantia" w:hAnsi="Constantia"/>
          <w:szCs w:val="22"/>
          <w:lang w:val="en-US"/>
        </w:rPr>
        <w:t xml:space="preserve"> </w:t>
      </w:r>
      <w:proofErr w:type="spellStart"/>
      <w:r w:rsidRPr="002E4869">
        <w:rPr>
          <w:rFonts w:ascii="Constantia" w:hAnsi="Constantia"/>
          <w:szCs w:val="22"/>
          <w:lang w:val="en-US"/>
        </w:rPr>
        <w:t>Dieye</w:t>
      </w:r>
      <w:proofErr w:type="spellEnd"/>
      <w:r w:rsidRPr="002E4869">
        <w:rPr>
          <w:rFonts w:ascii="Constantia" w:hAnsi="Constantia"/>
          <w:szCs w:val="22"/>
          <w:lang w:val="en-US"/>
        </w:rPr>
        <w:t>, EBAD/</w:t>
      </w:r>
      <w:proofErr w:type="gramStart"/>
      <w:r w:rsidRPr="002E4869">
        <w:rPr>
          <w:rFonts w:ascii="Constantia" w:hAnsi="Constantia"/>
          <w:szCs w:val="22"/>
          <w:lang w:val="en-US"/>
        </w:rPr>
        <w:t>UCAD</w:t>
      </w:r>
      <w:r w:rsidR="008C3601" w:rsidRPr="002E4869">
        <w:rPr>
          <w:rFonts w:ascii="Constantia" w:hAnsi="Constantia"/>
          <w:szCs w:val="22"/>
          <w:lang w:val="en-US"/>
        </w:rPr>
        <w:t> ;</w:t>
      </w:r>
      <w:proofErr w:type="gramEnd"/>
    </w:p>
    <w:p w:rsidR="00EB4FA1" w:rsidRPr="002E4869" w:rsidRDefault="00EB4FA1" w:rsidP="00EB4FA1">
      <w:pPr>
        <w:jc w:val="both"/>
        <w:rPr>
          <w:rFonts w:ascii="Constantia" w:hAnsi="Constantia"/>
          <w:szCs w:val="22"/>
          <w:lang w:val="en-US"/>
        </w:rPr>
      </w:pPr>
      <w:r w:rsidRPr="002E4869">
        <w:rPr>
          <w:rFonts w:ascii="Constantia" w:hAnsi="Constantia"/>
          <w:szCs w:val="22"/>
          <w:lang w:val="en-US"/>
        </w:rPr>
        <w:t xml:space="preserve">- Mohamed </w:t>
      </w:r>
      <w:proofErr w:type="spellStart"/>
      <w:r w:rsidRPr="002E4869">
        <w:rPr>
          <w:rFonts w:ascii="Constantia" w:hAnsi="Constantia"/>
          <w:szCs w:val="22"/>
          <w:lang w:val="en-US"/>
        </w:rPr>
        <w:t>Tawaf</w:t>
      </w:r>
      <w:proofErr w:type="spellEnd"/>
      <w:r w:rsidRPr="002E4869">
        <w:rPr>
          <w:rFonts w:ascii="Constantia" w:hAnsi="Constantia"/>
          <w:szCs w:val="22"/>
          <w:lang w:val="en-US"/>
        </w:rPr>
        <w:t xml:space="preserve">, </w:t>
      </w:r>
      <w:proofErr w:type="gramStart"/>
      <w:r w:rsidRPr="002E4869">
        <w:rPr>
          <w:rFonts w:ascii="Constantia" w:hAnsi="Constantia"/>
          <w:szCs w:val="22"/>
          <w:lang w:val="en-US"/>
        </w:rPr>
        <w:t>ENC</w:t>
      </w:r>
      <w:r w:rsidR="008C3601" w:rsidRPr="002E4869">
        <w:rPr>
          <w:rFonts w:ascii="Constantia" w:hAnsi="Constantia"/>
          <w:szCs w:val="22"/>
          <w:lang w:val="en-US"/>
        </w:rPr>
        <w:t> ;</w:t>
      </w:r>
      <w:proofErr w:type="gramEnd"/>
    </w:p>
    <w:p w:rsidR="00EB4FA1" w:rsidRPr="002E4869" w:rsidRDefault="00EB4FA1" w:rsidP="00EB4FA1">
      <w:pPr>
        <w:jc w:val="both"/>
        <w:rPr>
          <w:rFonts w:ascii="Constantia" w:hAnsi="Constantia"/>
          <w:szCs w:val="22"/>
          <w:lang w:val="en-US"/>
        </w:rPr>
      </w:pPr>
      <w:r w:rsidRPr="002E4869">
        <w:rPr>
          <w:rFonts w:ascii="Constantia" w:hAnsi="Constantia"/>
          <w:szCs w:val="22"/>
          <w:lang w:val="en-US"/>
        </w:rPr>
        <w:t xml:space="preserve">- Khalid </w:t>
      </w:r>
      <w:proofErr w:type="spellStart"/>
      <w:r w:rsidRPr="002E4869">
        <w:rPr>
          <w:rFonts w:ascii="Constantia" w:hAnsi="Constantia"/>
          <w:szCs w:val="22"/>
          <w:lang w:val="en-US"/>
        </w:rPr>
        <w:t>Chakor</w:t>
      </w:r>
      <w:proofErr w:type="spellEnd"/>
      <w:r w:rsidRPr="002E4869">
        <w:rPr>
          <w:rFonts w:ascii="Constantia" w:hAnsi="Constantia"/>
          <w:szCs w:val="22"/>
          <w:lang w:val="en-US"/>
        </w:rPr>
        <w:t xml:space="preserve"> </w:t>
      </w:r>
      <w:proofErr w:type="spellStart"/>
      <w:r w:rsidRPr="002E4869">
        <w:rPr>
          <w:rFonts w:ascii="Constantia" w:hAnsi="Constantia"/>
          <w:szCs w:val="22"/>
          <w:lang w:val="en-US"/>
        </w:rPr>
        <w:t>Alami</w:t>
      </w:r>
      <w:proofErr w:type="spellEnd"/>
      <w:r w:rsidRPr="002E4869">
        <w:rPr>
          <w:rFonts w:ascii="Constantia" w:hAnsi="Constantia"/>
          <w:szCs w:val="22"/>
          <w:lang w:val="en-US"/>
        </w:rPr>
        <w:t xml:space="preserve">, </w:t>
      </w:r>
      <w:proofErr w:type="gramStart"/>
      <w:r w:rsidRPr="002E4869">
        <w:rPr>
          <w:rFonts w:ascii="Constantia" w:hAnsi="Constantia"/>
          <w:szCs w:val="22"/>
          <w:lang w:val="en-US"/>
        </w:rPr>
        <w:t>BNF</w:t>
      </w:r>
      <w:r w:rsidR="008C3601" w:rsidRPr="002E4869">
        <w:rPr>
          <w:rFonts w:ascii="Constantia" w:hAnsi="Constantia"/>
          <w:szCs w:val="22"/>
          <w:lang w:val="en-US"/>
        </w:rPr>
        <w:t> ;</w:t>
      </w:r>
      <w:proofErr w:type="gramEnd"/>
    </w:p>
    <w:p w:rsidR="00D53E20" w:rsidRPr="002E4869" w:rsidRDefault="00963096" w:rsidP="00D53E20">
      <w:pPr>
        <w:jc w:val="both"/>
        <w:rPr>
          <w:rFonts w:ascii="Constantia" w:hAnsi="Constantia"/>
          <w:szCs w:val="22"/>
          <w:lang w:val="en-US"/>
        </w:rPr>
      </w:pPr>
      <w:r w:rsidRPr="002E4869">
        <w:rPr>
          <w:rFonts w:ascii="Constantia" w:hAnsi="Constantia"/>
          <w:szCs w:val="22"/>
          <w:lang w:val="en-US"/>
        </w:rPr>
        <w:t>- Christian Mue</w:t>
      </w:r>
      <w:r w:rsidR="00EB4FA1" w:rsidRPr="002E4869">
        <w:rPr>
          <w:rFonts w:ascii="Constantia" w:hAnsi="Constantia"/>
          <w:szCs w:val="22"/>
          <w:lang w:val="en-US"/>
        </w:rPr>
        <w:t>ller, IRHT</w:t>
      </w:r>
      <w:r w:rsidR="008C3601" w:rsidRPr="002E4869">
        <w:rPr>
          <w:rFonts w:ascii="Constantia" w:hAnsi="Constantia"/>
          <w:szCs w:val="22"/>
          <w:lang w:val="en-US"/>
        </w:rPr>
        <w:t>.</w:t>
      </w:r>
    </w:p>
    <w:p w:rsidR="007E56F6" w:rsidRPr="005E27B6" w:rsidRDefault="007E56F6" w:rsidP="005E27B6">
      <w:pPr>
        <w:pStyle w:val="Paragraphedeliste"/>
        <w:numPr>
          <w:ilvl w:val="0"/>
          <w:numId w:val="2"/>
        </w:numPr>
        <w:rPr>
          <w:rFonts w:ascii="Constantia" w:eastAsia="Calibri" w:hAnsi="Constantia" w:cs="Arial"/>
          <w:bCs/>
          <w:color w:val="FF0000"/>
          <w:szCs w:val="22"/>
        </w:rPr>
      </w:pPr>
      <w:r w:rsidRPr="005E27B6">
        <w:rPr>
          <w:rFonts w:ascii="Constantia" w:eastAsia="Calibri" w:hAnsi="Constantia" w:cs="Arial"/>
          <w:color w:val="FF0000"/>
          <w:szCs w:val="22"/>
        </w:rPr>
        <w:t>Comité d’organisation :</w:t>
      </w:r>
    </w:p>
    <w:p w:rsidR="007E56F6" w:rsidRDefault="007E56F6" w:rsidP="007E56F6">
      <w:pPr>
        <w:rPr>
          <w:rFonts w:ascii="Constantia" w:eastAsia="Calibri" w:hAnsi="Constantia" w:cs="Arial"/>
          <w:bCs/>
          <w:szCs w:val="22"/>
        </w:rPr>
      </w:pPr>
      <w:r w:rsidRPr="005A6090">
        <w:rPr>
          <w:rFonts w:ascii="Constantia" w:eastAsia="Calibri" w:hAnsi="Constantia" w:cs="Arial"/>
          <w:szCs w:val="22"/>
        </w:rPr>
        <w:t>- Elsa Marguin-Hamon, ENC</w:t>
      </w:r>
      <w:r w:rsidR="008C3601">
        <w:rPr>
          <w:rFonts w:ascii="Constantia" w:eastAsia="Calibri" w:hAnsi="Constantia" w:cs="Arial"/>
          <w:szCs w:val="22"/>
        </w:rPr>
        <w:t> ;</w:t>
      </w:r>
    </w:p>
    <w:p w:rsidR="00D742BA" w:rsidRPr="002E4869" w:rsidRDefault="00D742BA" w:rsidP="008C3601">
      <w:pPr>
        <w:rPr>
          <w:rFonts w:ascii="Constantia" w:eastAsia="Calibri" w:hAnsi="Constantia" w:cs="Arial"/>
          <w:bCs/>
          <w:szCs w:val="22"/>
          <w:lang w:val="en-US"/>
        </w:rPr>
      </w:pPr>
      <w:r w:rsidRPr="002E4869">
        <w:rPr>
          <w:rFonts w:ascii="Constantia" w:eastAsia="Calibri" w:hAnsi="Constantia" w:cs="Arial"/>
          <w:szCs w:val="22"/>
          <w:lang w:val="en-US"/>
        </w:rPr>
        <w:t xml:space="preserve">- Rania El Guindy, Univ. </w:t>
      </w:r>
      <w:proofErr w:type="gramStart"/>
      <w:r w:rsidRPr="002E4869">
        <w:rPr>
          <w:rFonts w:ascii="Constantia" w:eastAsia="Calibri" w:hAnsi="Constantia" w:cs="Arial"/>
          <w:szCs w:val="22"/>
          <w:lang w:val="en-US"/>
        </w:rPr>
        <w:t>Senghor</w:t>
      </w:r>
      <w:r w:rsidR="00F17EF3">
        <w:rPr>
          <w:rFonts w:ascii="Constantia" w:eastAsia="Calibri" w:hAnsi="Constantia" w:cs="Arial"/>
          <w:szCs w:val="22"/>
          <w:lang w:val="en-US"/>
        </w:rPr>
        <w:t xml:space="preserve"> </w:t>
      </w:r>
      <w:r w:rsidR="008C3601" w:rsidRPr="002E4869">
        <w:rPr>
          <w:rFonts w:ascii="Constantia" w:eastAsia="Calibri" w:hAnsi="Constantia" w:cs="Arial"/>
          <w:szCs w:val="22"/>
          <w:lang w:val="en-US"/>
        </w:rPr>
        <w:t>;</w:t>
      </w:r>
      <w:proofErr w:type="gramEnd"/>
    </w:p>
    <w:p w:rsidR="007E56F6" w:rsidRDefault="007E56F6" w:rsidP="007E56F6">
      <w:pPr>
        <w:rPr>
          <w:rFonts w:ascii="Constantia" w:eastAsia="Calibri" w:hAnsi="Constantia" w:cs="Arial"/>
          <w:bCs/>
          <w:szCs w:val="22"/>
        </w:rPr>
      </w:pPr>
      <w:r w:rsidRPr="005A6090">
        <w:rPr>
          <w:rFonts w:ascii="Constantia" w:eastAsia="Calibri" w:hAnsi="Constantia" w:cs="Arial"/>
          <w:szCs w:val="22"/>
        </w:rPr>
        <w:t>- Alexis De Canck, ENC</w:t>
      </w:r>
      <w:r w:rsidR="008C3601">
        <w:rPr>
          <w:rFonts w:ascii="Constantia" w:eastAsia="Calibri" w:hAnsi="Constantia" w:cs="Arial"/>
          <w:szCs w:val="22"/>
        </w:rPr>
        <w:t> ;</w:t>
      </w:r>
    </w:p>
    <w:p w:rsidR="00D742BA" w:rsidRDefault="00D742BA" w:rsidP="00D742BA">
      <w:pPr>
        <w:rPr>
          <w:rFonts w:ascii="Constantia" w:eastAsia="Calibri" w:hAnsi="Constantia" w:cs="Arial"/>
          <w:szCs w:val="22"/>
        </w:rPr>
      </w:pPr>
      <w:r w:rsidRPr="005A6090">
        <w:rPr>
          <w:rFonts w:ascii="Constantia" w:eastAsia="Calibri" w:hAnsi="Constantia" w:cs="Arial"/>
          <w:szCs w:val="22"/>
        </w:rPr>
        <w:t xml:space="preserve">- Jean-François </w:t>
      </w:r>
      <w:proofErr w:type="spellStart"/>
      <w:r w:rsidRPr="005A6090">
        <w:rPr>
          <w:rFonts w:ascii="Constantia" w:eastAsia="Calibri" w:hAnsi="Constantia" w:cs="Arial"/>
          <w:szCs w:val="22"/>
        </w:rPr>
        <w:t>Faü</w:t>
      </w:r>
      <w:proofErr w:type="spellEnd"/>
      <w:r w:rsidRPr="005A6090">
        <w:rPr>
          <w:rFonts w:ascii="Constantia" w:eastAsia="Calibri" w:hAnsi="Constantia" w:cs="Arial"/>
          <w:szCs w:val="22"/>
        </w:rPr>
        <w:t xml:space="preserve">, </w:t>
      </w:r>
      <w:proofErr w:type="spellStart"/>
      <w:r w:rsidRPr="005A6090">
        <w:rPr>
          <w:rFonts w:ascii="Constantia" w:eastAsia="Calibri" w:hAnsi="Constantia" w:cs="Arial"/>
          <w:szCs w:val="22"/>
        </w:rPr>
        <w:t>Univ</w:t>
      </w:r>
      <w:proofErr w:type="spellEnd"/>
      <w:r w:rsidRPr="005A6090">
        <w:rPr>
          <w:rFonts w:ascii="Constantia" w:eastAsia="Calibri" w:hAnsi="Constantia" w:cs="Arial"/>
          <w:szCs w:val="22"/>
        </w:rPr>
        <w:t>. Senghor</w:t>
      </w:r>
      <w:r w:rsidR="00F17EF3">
        <w:rPr>
          <w:rFonts w:ascii="Constantia" w:eastAsia="Calibri" w:hAnsi="Constantia" w:cs="Arial"/>
          <w:szCs w:val="22"/>
        </w:rPr>
        <w:t xml:space="preserve"> </w:t>
      </w:r>
      <w:r w:rsidR="008C3601">
        <w:rPr>
          <w:rFonts w:ascii="Constantia" w:eastAsia="Calibri" w:hAnsi="Constantia" w:cs="Arial"/>
          <w:szCs w:val="22"/>
        </w:rPr>
        <w:t>;</w:t>
      </w:r>
    </w:p>
    <w:p w:rsidR="00903427" w:rsidRPr="00903427" w:rsidRDefault="0086530B" w:rsidP="00903427">
      <w:pPr>
        <w:rPr>
          <w:rFonts w:ascii="Constantia" w:eastAsia="Calibri" w:hAnsi="Constantia" w:cs="Arial"/>
          <w:szCs w:val="22"/>
        </w:rPr>
      </w:pPr>
      <w:r>
        <w:rPr>
          <w:rFonts w:ascii="Constantia" w:eastAsia="Calibri" w:hAnsi="Constantia" w:cs="Arial"/>
          <w:szCs w:val="22"/>
        </w:rPr>
        <w:t xml:space="preserve">- </w:t>
      </w:r>
      <w:proofErr w:type="spellStart"/>
      <w:r>
        <w:rPr>
          <w:rFonts w:ascii="Constantia" w:eastAsia="Calibri" w:hAnsi="Constantia" w:cs="Arial"/>
          <w:szCs w:val="22"/>
        </w:rPr>
        <w:t>Mousapha</w:t>
      </w:r>
      <w:proofErr w:type="spellEnd"/>
      <w:r>
        <w:rPr>
          <w:rFonts w:ascii="Constantia" w:eastAsia="Calibri" w:hAnsi="Constantia" w:cs="Arial"/>
          <w:szCs w:val="22"/>
        </w:rPr>
        <w:t xml:space="preserve"> </w:t>
      </w:r>
      <w:r w:rsidR="00903427">
        <w:rPr>
          <w:rFonts w:ascii="Constantia" w:eastAsia="Calibri" w:hAnsi="Constantia" w:cs="Arial"/>
          <w:szCs w:val="22"/>
        </w:rPr>
        <w:t>M</w:t>
      </w:r>
      <w:r w:rsidR="00903427" w:rsidRPr="00903427">
        <w:rPr>
          <w:rFonts w:ascii="Constantia" w:eastAsia="Calibri" w:hAnsi="Constantia" w:cs="Arial"/>
          <w:szCs w:val="22"/>
        </w:rPr>
        <w:t>bengue</w:t>
      </w:r>
      <w:r w:rsidR="00903427">
        <w:rPr>
          <w:rFonts w:ascii="Constantia" w:eastAsia="Calibri" w:hAnsi="Constantia" w:cs="Arial"/>
          <w:szCs w:val="22"/>
        </w:rPr>
        <w:t>,</w:t>
      </w:r>
      <w:r>
        <w:rPr>
          <w:rFonts w:ascii="Constantia" w:eastAsia="Calibri" w:hAnsi="Constantia" w:cs="Arial"/>
          <w:szCs w:val="22"/>
        </w:rPr>
        <w:t xml:space="preserve"> </w:t>
      </w:r>
      <w:r w:rsidR="00903427">
        <w:rPr>
          <w:rFonts w:ascii="Constantia" w:eastAsia="Calibri" w:hAnsi="Constantia" w:cs="Arial"/>
          <w:szCs w:val="22"/>
        </w:rPr>
        <w:t>UCAD</w:t>
      </w:r>
      <w:r w:rsidR="00F17EF3">
        <w:rPr>
          <w:rFonts w:ascii="Constantia" w:eastAsia="Calibri" w:hAnsi="Constantia" w:cs="Arial"/>
          <w:szCs w:val="22"/>
        </w:rPr>
        <w:t xml:space="preserve"> </w:t>
      </w:r>
      <w:r w:rsidR="00903427">
        <w:rPr>
          <w:rFonts w:ascii="Constantia" w:eastAsia="Calibri" w:hAnsi="Constantia" w:cs="Arial"/>
          <w:szCs w:val="22"/>
        </w:rPr>
        <w:t>;</w:t>
      </w:r>
    </w:p>
    <w:p w:rsidR="004958EE" w:rsidRPr="005A6090" w:rsidRDefault="004958EE" w:rsidP="00D742BA">
      <w:pPr>
        <w:rPr>
          <w:rFonts w:ascii="Constantia" w:eastAsia="Calibri" w:hAnsi="Constantia" w:cs="Arial"/>
          <w:bCs/>
          <w:szCs w:val="22"/>
        </w:rPr>
      </w:pPr>
      <w:r>
        <w:rPr>
          <w:rFonts w:ascii="Constantia" w:eastAsia="Calibri" w:hAnsi="Constantia" w:cs="Arial"/>
          <w:szCs w:val="22"/>
        </w:rPr>
        <w:t>- Charlotte Maury, Musée du Louvre.</w:t>
      </w:r>
    </w:p>
    <w:p w:rsidR="00D742BA" w:rsidRPr="005A6090" w:rsidRDefault="00D742BA" w:rsidP="007E56F6">
      <w:pPr>
        <w:rPr>
          <w:rFonts w:ascii="Constantia" w:eastAsia="Calibri" w:hAnsi="Constantia" w:cs="Arial"/>
          <w:bCs/>
          <w:szCs w:val="22"/>
        </w:rPr>
      </w:pPr>
    </w:p>
    <w:p w:rsidR="007E56F6" w:rsidRDefault="007E56F6" w:rsidP="00EB4FA1">
      <w:pPr>
        <w:jc w:val="both"/>
        <w:rPr>
          <w:rFonts w:ascii="Constantia" w:hAnsi="Constantia"/>
          <w:szCs w:val="22"/>
        </w:rPr>
      </w:pPr>
    </w:p>
    <w:p w:rsidR="005A6090" w:rsidRPr="00180E22" w:rsidRDefault="005A6090" w:rsidP="00EB4FA1">
      <w:pPr>
        <w:jc w:val="both"/>
        <w:rPr>
          <w:rFonts w:ascii="Constantia" w:hAnsi="Constantia"/>
          <w:szCs w:val="22"/>
        </w:rPr>
      </w:pPr>
    </w:p>
    <w:sectPr w:rsidR="005A6090" w:rsidRPr="00180E2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17" w:rsidRDefault="00E47517" w:rsidP="004C28A7">
      <w:pPr>
        <w:spacing w:after="0" w:line="240" w:lineRule="auto"/>
      </w:pPr>
      <w:r>
        <w:separator/>
      </w:r>
    </w:p>
  </w:endnote>
  <w:endnote w:type="continuationSeparator" w:id="0">
    <w:p w:rsidR="00E47517" w:rsidRDefault="00E47517" w:rsidP="004C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17" w:rsidRDefault="00E47517" w:rsidP="004C28A7">
      <w:pPr>
        <w:spacing w:after="0" w:line="240" w:lineRule="auto"/>
      </w:pPr>
      <w:r>
        <w:separator/>
      </w:r>
    </w:p>
  </w:footnote>
  <w:footnote w:type="continuationSeparator" w:id="0">
    <w:p w:rsidR="00E47517" w:rsidRDefault="00E47517" w:rsidP="004C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8A7" w:rsidRDefault="004C28A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7515225" cy="1066800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 trans="4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6086F0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CA4F"/>
      </v:shape>
    </w:pict>
  </w:numPicBullet>
  <w:abstractNum w:abstractNumId="0" w15:restartNumberingAfterBreak="0">
    <w:nsid w:val="27837DBA"/>
    <w:multiLevelType w:val="multilevel"/>
    <w:tmpl w:val="2AFA1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27783"/>
    <w:multiLevelType w:val="hybridMultilevel"/>
    <w:tmpl w:val="807817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1475"/>
    <w:multiLevelType w:val="hybridMultilevel"/>
    <w:tmpl w:val="55EA62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6E2725"/>
    <w:multiLevelType w:val="hybridMultilevel"/>
    <w:tmpl w:val="74A8E76E"/>
    <w:lvl w:ilvl="0" w:tplc="F732D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8"/>
    <w:rsid w:val="000B3AC7"/>
    <w:rsid w:val="000E3FFB"/>
    <w:rsid w:val="000F7AA2"/>
    <w:rsid w:val="00104C37"/>
    <w:rsid w:val="00180E22"/>
    <w:rsid w:val="001A0406"/>
    <w:rsid w:val="00245BD9"/>
    <w:rsid w:val="002776B9"/>
    <w:rsid w:val="002C471D"/>
    <w:rsid w:val="002E4869"/>
    <w:rsid w:val="002F7BAD"/>
    <w:rsid w:val="003404C0"/>
    <w:rsid w:val="003428F8"/>
    <w:rsid w:val="003461B1"/>
    <w:rsid w:val="004958EE"/>
    <w:rsid w:val="004C28A7"/>
    <w:rsid w:val="005A6090"/>
    <w:rsid w:val="005C77F6"/>
    <w:rsid w:val="005E27B6"/>
    <w:rsid w:val="005E6B96"/>
    <w:rsid w:val="00661D62"/>
    <w:rsid w:val="006B6279"/>
    <w:rsid w:val="00761063"/>
    <w:rsid w:val="007667F5"/>
    <w:rsid w:val="00786AE2"/>
    <w:rsid w:val="007C450E"/>
    <w:rsid w:val="007E56F6"/>
    <w:rsid w:val="007E673D"/>
    <w:rsid w:val="007F305C"/>
    <w:rsid w:val="0086530B"/>
    <w:rsid w:val="008772F1"/>
    <w:rsid w:val="008A0A11"/>
    <w:rsid w:val="008A287F"/>
    <w:rsid w:val="008C3601"/>
    <w:rsid w:val="00903427"/>
    <w:rsid w:val="00963096"/>
    <w:rsid w:val="00991FA4"/>
    <w:rsid w:val="00997386"/>
    <w:rsid w:val="009F5967"/>
    <w:rsid w:val="00A2194C"/>
    <w:rsid w:val="00A577DD"/>
    <w:rsid w:val="00A80CE3"/>
    <w:rsid w:val="00AB43B9"/>
    <w:rsid w:val="00B325A4"/>
    <w:rsid w:val="00BA0DF1"/>
    <w:rsid w:val="00BD0327"/>
    <w:rsid w:val="00BD3951"/>
    <w:rsid w:val="00C45929"/>
    <w:rsid w:val="00C97C7C"/>
    <w:rsid w:val="00D53E20"/>
    <w:rsid w:val="00D742BA"/>
    <w:rsid w:val="00D85E3C"/>
    <w:rsid w:val="00D877A5"/>
    <w:rsid w:val="00DA5C86"/>
    <w:rsid w:val="00DE30DC"/>
    <w:rsid w:val="00E209EA"/>
    <w:rsid w:val="00E4687D"/>
    <w:rsid w:val="00E47517"/>
    <w:rsid w:val="00E7101F"/>
    <w:rsid w:val="00E77B72"/>
    <w:rsid w:val="00EA4C6A"/>
    <w:rsid w:val="00EB4FA1"/>
    <w:rsid w:val="00EC3BBB"/>
    <w:rsid w:val="00ED58E2"/>
    <w:rsid w:val="00EE3D6D"/>
    <w:rsid w:val="00F17EF3"/>
    <w:rsid w:val="00F92345"/>
    <w:rsid w:val="00F97D49"/>
    <w:rsid w:val="00FA1138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9298F"/>
  <w15:chartTrackingRefBased/>
  <w15:docId w15:val="{C3718669-87E4-4E09-B0F6-6AB8457C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85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8A7"/>
  </w:style>
  <w:style w:type="paragraph" w:styleId="Pieddepage">
    <w:name w:val="footer"/>
    <w:basedOn w:val="Normal"/>
    <w:link w:val="PieddepageCar"/>
    <w:uiPriority w:val="99"/>
    <w:unhideWhenUsed/>
    <w:rsid w:val="004C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8A7"/>
  </w:style>
  <w:style w:type="character" w:customStyle="1" w:styleId="Titre1Car">
    <w:name w:val="Titre 1 Car"/>
    <w:basedOn w:val="Policepardfaut"/>
    <w:link w:val="Titre1"/>
    <w:uiPriority w:val="9"/>
    <w:rsid w:val="00D85E3C"/>
    <w:rPr>
      <w:rFonts w:ascii="Times New Roman" w:eastAsia="Times New Roman" w:hAnsi="Times New Roman" w:cs="Times New Roman"/>
      <w:b/>
      <w:kern w:val="36"/>
      <w:sz w:val="48"/>
      <w:szCs w:val="48"/>
      <w:lang w:eastAsia="fr-FR"/>
    </w:rPr>
  </w:style>
  <w:style w:type="paragraph" w:customStyle="1" w:styleId="texte">
    <w:name w:val="texte"/>
    <w:basedOn w:val="Normal"/>
    <w:rsid w:val="00D8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85E3C"/>
    <w:rPr>
      <w:color w:val="0000FF"/>
      <w:u w:val="single"/>
    </w:rPr>
  </w:style>
  <w:style w:type="character" w:customStyle="1" w:styleId="num">
    <w:name w:val="num"/>
    <w:basedOn w:val="Policepardfaut"/>
    <w:rsid w:val="00D85E3C"/>
  </w:style>
  <w:style w:type="character" w:styleId="Accentuation">
    <w:name w:val="Emphasis"/>
    <w:basedOn w:val="Policepardfaut"/>
    <w:uiPriority w:val="20"/>
    <w:qFormat/>
    <w:rsid w:val="00D85E3C"/>
    <w:rPr>
      <w:i/>
      <w:iCs/>
    </w:rPr>
  </w:style>
  <w:style w:type="character" w:customStyle="1" w:styleId="paranumber">
    <w:name w:val="paranumber"/>
    <w:basedOn w:val="Policepardfaut"/>
    <w:rsid w:val="00D85E3C"/>
  </w:style>
  <w:style w:type="paragraph" w:styleId="Paragraphedeliste">
    <w:name w:val="List Paragraph"/>
    <w:basedOn w:val="Normal"/>
    <w:uiPriority w:val="34"/>
    <w:qFormat/>
    <w:rsid w:val="005E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lture@usenghor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wan.hatem@usenghor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ssenghor</dc:creator>
  <cp:keywords/>
  <dc:description/>
  <cp:lastModifiedBy>Jean-François FAU</cp:lastModifiedBy>
  <cp:revision>4</cp:revision>
  <cp:lastPrinted>2020-11-02T12:45:00Z</cp:lastPrinted>
  <dcterms:created xsi:type="dcterms:W3CDTF">2020-11-04T14:00:00Z</dcterms:created>
  <dcterms:modified xsi:type="dcterms:W3CDTF">2020-11-04T14:37:00Z</dcterms:modified>
</cp:coreProperties>
</file>